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B07956" w14:paraId="1B6196DA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bottom w:val="single" w:sz="24" w:space="0" w:color="B98F45"/>
            </w:tcBorders>
            <w:shd w:val="clear" w:color="auto" w:fill="1B2A41"/>
            <w:tcMar>
              <w:top w:w="260" w:type="dxa"/>
              <w:left w:w="340" w:type="dxa"/>
              <w:bottom w:w="220" w:type="dxa"/>
              <w:right w:w="340" w:type="dxa"/>
            </w:tcMar>
          </w:tcPr>
          <w:p w14:paraId="02AA494B" w14:textId="77777777" w:rsidR="00B07956" w:rsidRDefault="00000000">
            <w:pPr>
              <w:spacing w:after="40"/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pacing w:val="14"/>
                <w:sz w:val="32"/>
                <w:szCs w:val="32"/>
              </w:rPr>
              <w:t>ASPIRE RESEARCH &amp; CONSULTING</w:t>
            </w:r>
          </w:p>
          <w:p w14:paraId="59CA732C" w14:textId="77777777" w:rsidR="00B07956" w:rsidRDefault="00000000">
            <w:pPr>
              <w:spacing w:after="60"/>
            </w:pPr>
            <w:r>
              <w:rPr>
                <w:i/>
                <w:iCs/>
                <w:color w:val="B98F45"/>
                <w:sz w:val="19"/>
                <w:szCs w:val="19"/>
              </w:rPr>
              <w:t>Research. Funding. Impact.</w:t>
            </w:r>
          </w:p>
          <w:p w14:paraId="46B15047" w14:textId="77777777" w:rsidR="00B07956" w:rsidRDefault="00000000">
            <w:r>
              <w:rPr>
                <w:rFonts w:ascii="Montserrat" w:eastAsia="Montserrat" w:hAnsi="Montserrat" w:cs="Montserrat"/>
                <w:b/>
                <w:bCs/>
                <w:color w:val="FFFFFF"/>
                <w:spacing w:val="10"/>
                <w:sz w:val="17"/>
                <w:szCs w:val="17"/>
              </w:rPr>
              <w:t>CAPABILITY STATEMENT</w:t>
            </w:r>
          </w:p>
        </w:tc>
      </w:tr>
    </w:tbl>
    <w:p w14:paraId="09E4E19F" w14:textId="77777777" w:rsidR="00B07956" w:rsidRDefault="00B07956">
      <w:pPr>
        <w:spacing w:before="200"/>
      </w:pPr>
    </w:p>
    <w:p w14:paraId="2CB03B9F" w14:textId="77777777" w:rsidR="00B07956" w:rsidRDefault="00000000">
      <w:pPr>
        <w:pBdr>
          <w:bottom w:val="single" w:sz="6" w:space="3" w:color="B98F45"/>
        </w:pBdr>
        <w:spacing w:before="260" w:after="120"/>
      </w:pPr>
      <w:r>
        <w:rPr>
          <w:rFonts w:ascii="Montserrat" w:eastAsia="Montserrat" w:hAnsi="Montserrat" w:cs="Montserrat"/>
          <w:b/>
          <w:bCs/>
          <w:color w:val="1B2A41"/>
          <w:spacing w:val="6"/>
          <w:sz w:val="22"/>
          <w:szCs w:val="22"/>
        </w:rPr>
        <w:t>COMPANY OVERVIEW</w:t>
      </w:r>
    </w:p>
    <w:p w14:paraId="7FEC18B3" w14:textId="77777777" w:rsidR="00B07956" w:rsidRDefault="00000000">
      <w:pPr>
        <w:spacing w:after="120" w:line="280" w:lineRule="auto"/>
        <w:jc w:val="both"/>
      </w:pPr>
      <w:r>
        <w:rPr>
          <w:sz w:val="21"/>
          <w:szCs w:val="21"/>
        </w:rPr>
        <w:t>Aspire Research &amp; Consulting is a research and grant development consultancy supporting nonprofits, community-based organizations, and mission-driven institutions. We help organizations translate their work into fundable, evidence-based, and professionally documented deliverables — from grant proposals and funder research to program evaluation and policy communication. Our approach pairs rigorous research practice with a clear understanding of how funders, boards, and policymakers evaluate organizational credibility.</w:t>
      </w:r>
    </w:p>
    <w:p w14:paraId="1F7C9858" w14:textId="77777777" w:rsidR="00B07956" w:rsidRDefault="00000000">
      <w:pPr>
        <w:pBdr>
          <w:bottom w:val="single" w:sz="6" w:space="3" w:color="B98F45"/>
        </w:pBdr>
        <w:spacing w:before="260" w:after="120"/>
      </w:pPr>
      <w:r>
        <w:rPr>
          <w:rFonts w:ascii="Montserrat" w:eastAsia="Montserrat" w:hAnsi="Montserrat" w:cs="Montserrat"/>
          <w:b/>
          <w:bCs/>
          <w:color w:val="1B2A41"/>
          <w:spacing w:val="6"/>
          <w:sz w:val="22"/>
          <w:szCs w:val="22"/>
        </w:rPr>
        <w:t xml:space="preserve">CORE </w:t>
      </w:r>
      <w:proofErr w:type="gramStart"/>
      <w:r>
        <w:rPr>
          <w:rFonts w:ascii="Montserrat" w:eastAsia="Montserrat" w:hAnsi="Montserrat" w:cs="Montserrat"/>
          <w:b/>
          <w:bCs/>
          <w:color w:val="1B2A41"/>
          <w:spacing w:val="6"/>
          <w:sz w:val="22"/>
          <w:szCs w:val="22"/>
        </w:rPr>
        <w:t>CAPABILITIES  &amp;</w:t>
      </w:r>
      <w:proofErr w:type="gramEnd"/>
      <w:r>
        <w:rPr>
          <w:rFonts w:ascii="Montserrat" w:eastAsia="Montserrat" w:hAnsi="Montserrat" w:cs="Montserrat"/>
          <w:b/>
          <w:bCs/>
          <w:color w:val="1B2A41"/>
          <w:spacing w:val="6"/>
          <w:sz w:val="22"/>
          <w:szCs w:val="22"/>
        </w:rPr>
        <w:t xml:space="preserve">  AREAS OF EXPERTISE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0"/>
        <w:gridCol w:w="4700"/>
      </w:tblGrid>
      <w:tr w:rsidR="00B07956" w14:paraId="0FF404A3" w14:textId="77777777">
        <w:tblPrEx>
          <w:tblCellMar>
            <w:top w:w="0" w:type="dxa"/>
            <w:bottom w:w="0" w:type="dxa"/>
          </w:tblCellMar>
        </w:tblPrEx>
        <w:tc>
          <w:tcPr>
            <w:tcW w:w="4650" w:type="dxa"/>
            <w:tcMar>
              <w:top w:w="0" w:type="dxa"/>
              <w:left w:w="0" w:type="dxa"/>
              <w:bottom w:w="0" w:type="dxa"/>
              <w:right w:w="200" w:type="dxa"/>
            </w:tcMar>
          </w:tcPr>
          <w:p w14:paraId="09ED31A0" w14:textId="77777777" w:rsidR="00B07956" w:rsidRDefault="00000000">
            <w:pPr>
              <w:spacing w:after="80"/>
            </w:pPr>
            <w:r>
              <w:rPr>
                <w:rFonts w:ascii="Montserrat" w:eastAsia="Montserrat" w:hAnsi="Montserrat" w:cs="Montserrat"/>
                <w:b/>
                <w:bCs/>
                <w:color w:val="2F4A3D"/>
                <w:sz w:val="19"/>
                <w:szCs w:val="19"/>
              </w:rPr>
              <w:t>Core Capabilities</w:t>
            </w:r>
          </w:p>
          <w:p w14:paraId="6B958FCE" w14:textId="77777777" w:rsidR="00B07956" w:rsidRDefault="00000000">
            <w:pPr>
              <w:pStyle w:val="ListParagraph"/>
              <w:numPr>
                <w:ilvl w:val="0"/>
                <w:numId w:val="2"/>
              </w:numPr>
              <w:spacing w:after="90"/>
            </w:pPr>
            <w:r>
              <w:t>Grant Development</w:t>
            </w:r>
          </w:p>
          <w:p w14:paraId="63BAB304" w14:textId="77777777" w:rsidR="00B07956" w:rsidRDefault="00000000">
            <w:pPr>
              <w:pStyle w:val="ListParagraph"/>
              <w:numPr>
                <w:ilvl w:val="0"/>
                <w:numId w:val="2"/>
              </w:numPr>
              <w:spacing w:after="90"/>
            </w:pPr>
            <w:r>
              <w:t>Funding &amp; Funder Research</w:t>
            </w:r>
          </w:p>
          <w:p w14:paraId="0C7290ED" w14:textId="77777777" w:rsidR="00B07956" w:rsidRDefault="00000000">
            <w:pPr>
              <w:pStyle w:val="ListParagraph"/>
              <w:numPr>
                <w:ilvl w:val="0"/>
                <w:numId w:val="2"/>
              </w:numPr>
              <w:spacing w:after="90"/>
            </w:pPr>
            <w:r>
              <w:t>Research &amp; Evidence Synthesis</w:t>
            </w:r>
          </w:p>
          <w:p w14:paraId="222E79DD" w14:textId="77777777" w:rsidR="00B07956" w:rsidRDefault="00000000">
            <w:pPr>
              <w:pStyle w:val="ListParagraph"/>
              <w:numPr>
                <w:ilvl w:val="0"/>
                <w:numId w:val="2"/>
              </w:numPr>
              <w:spacing w:after="90"/>
            </w:pPr>
            <w:r>
              <w:t>Technical &amp; Program Documentation</w:t>
            </w:r>
          </w:p>
          <w:p w14:paraId="6C05DBBD" w14:textId="77777777" w:rsidR="00B07956" w:rsidRDefault="00000000">
            <w:pPr>
              <w:pStyle w:val="ListParagraph"/>
              <w:numPr>
                <w:ilvl w:val="0"/>
                <w:numId w:val="2"/>
              </w:numPr>
              <w:spacing w:after="90"/>
            </w:pPr>
            <w:r>
              <w:t>Organizational Research Support</w:t>
            </w:r>
          </w:p>
        </w:tc>
        <w:tc>
          <w:tcPr>
            <w:tcW w:w="4700" w:type="dxa"/>
            <w:tcMar>
              <w:top w:w="0" w:type="dxa"/>
              <w:left w:w="200" w:type="dxa"/>
              <w:bottom w:w="0" w:type="dxa"/>
              <w:right w:w="0" w:type="dxa"/>
            </w:tcMar>
          </w:tcPr>
          <w:p w14:paraId="37CBD44D" w14:textId="77777777" w:rsidR="00B07956" w:rsidRDefault="00000000">
            <w:pPr>
              <w:spacing w:after="80"/>
            </w:pPr>
            <w:r>
              <w:rPr>
                <w:rFonts w:ascii="Montserrat" w:eastAsia="Montserrat" w:hAnsi="Montserrat" w:cs="Montserrat"/>
                <w:b/>
                <w:bCs/>
                <w:color w:val="2F4A3D"/>
                <w:sz w:val="19"/>
                <w:szCs w:val="19"/>
              </w:rPr>
              <w:t>Areas of Expertise</w:t>
            </w:r>
          </w:p>
          <w:p w14:paraId="219C6484" w14:textId="77777777" w:rsidR="00B07956" w:rsidRDefault="00000000">
            <w:pPr>
              <w:pStyle w:val="ListParagraph"/>
              <w:numPr>
                <w:ilvl w:val="0"/>
                <w:numId w:val="2"/>
              </w:numPr>
              <w:spacing w:after="90"/>
            </w:pPr>
            <w:r>
              <w:t>Public health</w:t>
            </w:r>
          </w:p>
          <w:p w14:paraId="07C8EDEE" w14:textId="77777777" w:rsidR="00B07956" w:rsidRDefault="00000000">
            <w:pPr>
              <w:pStyle w:val="ListParagraph"/>
              <w:numPr>
                <w:ilvl w:val="0"/>
                <w:numId w:val="2"/>
              </w:numPr>
              <w:spacing w:after="90"/>
            </w:pPr>
            <w:r>
              <w:t>Social development</w:t>
            </w:r>
          </w:p>
          <w:p w14:paraId="425C6BFF" w14:textId="77777777" w:rsidR="00B07956" w:rsidRDefault="00000000">
            <w:pPr>
              <w:pStyle w:val="ListParagraph"/>
              <w:numPr>
                <w:ilvl w:val="0"/>
                <w:numId w:val="2"/>
              </w:numPr>
              <w:spacing w:after="90"/>
            </w:pPr>
            <w:r>
              <w:t>Education</w:t>
            </w:r>
          </w:p>
          <w:p w14:paraId="6EA7F9BD" w14:textId="77777777" w:rsidR="00B07956" w:rsidRDefault="00000000">
            <w:pPr>
              <w:pStyle w:val="ListParagraph"/>
              <w:numPr>
                <w:ilvl w:val="0"/>
                <w:numId w:val="2"/>
              </w:numPr>
              <w:spacing w:after="90"/>
            </w:pPr>
            <w:r>
              <w:t>Community development</w:t>
            </w:r>
          </w:p>
          <w:p w14:paraId="3D24BB46" w14:textId="77777777" w:rsidR="00B07956" w:rsidRDefault="00000000">
            <w:pPr>
              <w:pStyle w:val="ListParagraph"/>
              <w:numPr>
                <w:ilvl w:val="0"/>
                <w:numId w:val="2"/>
              </w:numPr>
              <w:spacing w:after="90"/>
            </w:pPr>
            <w:r>
              <w:t>Nonprofit programs</w:t>
            </w:r>
          </w:p>
          <w:p w14:paraId="453150C2" w14:textId="77777777" w:rsidR="00B07956" w:rsidRDefault="00000000">
            <w:pPr>
              <w:pStyle w:val="ListParagraph"/>
              <w:numPr>
                <w:ilvl w:val="0"/>
                <w:numId w:val="2"/>
              </w:numPr>
              <w:spacing w:after="90"/>
            </w:pPr>
            <w:r>
              <w:t>Research and evaluation</w:t>
            </w:r>
          </w:p>
        </w:tc>
      </w:tr>
    </w:tbl>
    <w:p w14:paraId="1F6292BF" w14:textId="77777777" w:rsidR="00B07956" w:rsidRDefault="00000000">
      <w:pPr>
        <w:pBdr>
          <w:bottom w:val="single" w:sz="6" w:space="3" w:color="B98F45"/>
        </w:pBdr>
        <w:spacing w:before="260" w:after="120"/>
      </w:pPr>
      <w:r>
        <w:rPr>
          <w:rFonts w:ascii="Montserrat" w:eastAsia="Montserrat" w:hAnsi="Montserrat" w:cs="Montserrat"/>
          <w:b/>
          <w:bCs/>
          <w:color w:val="1B2A41"/>
          <w:spacing w:val="6"/>
          <w:sz w:val="22"/>
          <w:szCs w:val="22"/>
        </w:rPr>
        <w:t>SERVICES</w:t>
      </w:r>
    </w:p>
    <w:p w14:paraId="23A45F56" w14:textId="77777777" w:rsidR="00B07956" w:rsidRDefault="00000000">
      <w:pPr>
        <w:pStyle w:val="ListParagraph"/>
        <w:numPr>
          <w:ilvl w:val="0"/>
          <w:numId w:val="2"/>
        </w:numPr>
        <w:spacing w:after="90"/>
      </w:pPr>
      <w:r>
        <w:t>Grant proposal writing and development, from concept through final submission</w:t>
      </w:r>
    </w:p>
    <w:p w14:paraId="73EA37B0" w14:textId="77777777" w:rsidR="00B07956" w:rsidRDefault="00000000">
      <w:pPr>
        <w:pStyle w:val="ListParagraph"/>
        <w:numPr>
          <w:ilvl w:val="0"/>
          <w:numId w:val="2"/>
        </w:numPr>
        <w:spacing w:after="90"/>
      </w:pPr>
      <w:r>
        <w:t>Funder landscape research and prioritized funding strategy</w:t>
      </w:r>
    </w:p>
    <w:p w14:paraId="7B6745C8" w14:textId="77777777" w:rsidR="00B07956" w:rsidRDefault="00000000">
      <w:pPr>
        <w:pStyle w:val="ListParagraph"/>
        <w:numPr>
          <w:ilvl w:val="0"/>
          <w:numId w:val="2"/>
        </w:numPr>
        <w:spacing w:after="90"/>
      </w:pPr>
      <w:r>
        <w:t>Research reports and evidence synthesis to support program design and advocacy</w:t>
      </w:r>
    </w:p>
    <w:p w14:paraId="43ED0AC2" w14:textId="77777777" w:rsidR="00B07956" w:rsidRDefault="00000000">
      <w:pPr>
        <w:pStyle w:val="ListParagraph"/>
        <w:numPr>
          <w:ilvl w:val="0"/>
          <w:numId w:val="2"/>
        </w:numPr>
        <w:spacing w:after="90"/>
      </w:pPr>
      <w:r>
        <w:t>Program implementation and technical reports for funders, boards, and internal use</w:t>
      </w:r>
    </w:p>
    <w:p w14:paraId="77C28D1D" w14:textId="77777777" w:rsidR="00B07956" w:rsidRDefault="00000000">
      <w:pPr>
        <w:pStyle w:val="ListParagraph"/>
        <w:numPr>
          <w:ilvl w:val="0"/>
          <w:numId w:val="2"/>
        </w:numPr>
        <w:spacing w:after="90"/>
      </w:pPr>
      <w:r>
        <w:t xml:space="preserve">Policy and evidence </w:t>
      </w:r>
      <w:proofErr w:type="gramStart"/>
      <w:r>
        <w:t>briefs</w:t>
      </w:r>
      <w:proofErr w:type="gramEnd"/>
      <w:r>
        <w:t xml:space="preserve"> for advocacy, funder education, and public communication</w:t>
      </w:r>
    </w:p>
    <w:p w14:paraId="7DAC8D2A" w14:textId="77777777" w:rsidR="00B07956" w:rsidRDefault="00000000">
      <w:pPr>
        <w:pBdr>
          <w:bottom w:val="single" w:sz="6" w:space="3" w:color="B98F45"/>
        </w:pBdr>
        <w:spacing w:before="260" w:after="120"/>
      </w:pPr>
      <w:r>
        <w:rPr>
          <w:rFonts w:ascii="Montserrat" w:eastAsia="Montserrat" w:hAnsi="Montserrat" w:cs="Montserrat"/>
          <w:b/>
          <w:bCs/>
          <w:color w:val="1B2A41"/>
          <w:spacing w:val="6"/>
          <w:sz w:val="22"/>
          <w:szCs w:val="22"/>
        </w:rPr>
        <w:t>WHY ASPIRE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7"/>
        <w:gridCol w:w="2337"/>
        <w:gridCol w:w="2338"/>
        <w:gridCol w:w="2338"/>
      </w:tblGrid>
      <w:tr w:rsidR="00B07956" w14:paraId="1832757C" w14:textId="77777777">
        <w:tblPrEx>
          <w:tblCellMar>
            <w:top w:w="0" w:type="dxa"/>
            <w:bottom w:w="0" w:type="dxa"/>
          </w:tblCellMar>
        </w:tblPrEx>
        <w:tc>
          <w:tcPr>
            <w:tcW w:w="2337" w:type="dxa"/>
            <w:tcBorders>
              <w:top w:val="single" w:sz="4" w:space="0" w:color="B98F45"/>
              <w:left w:val="single" w:sz="4" w:space="0" w:color="B98F45"/>
              <w:bottom w:val="single" w:sz="4" w:space="0" w:color="B98F45"/>
              <w:right w:val="single" w:sz="4" w:space="0" w:color="B98F45"/>
            </w:tcBorders>
            <w:shd w:val="clear" w:color="auto" w:fill="F3F2EF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FB0795E" w14:textId="77777777" w:rsidR="00B07956" w:rsidRDefault="00000000">
            <w:pPr>
              <w:spacing w:after="50"/>
            </w:pPr>
            <w:r>
              <w:rPr>
                <w:rFonts w:ascii="Montserrat" w:eastAsia="Montserrat" w:hAnsi="Montserrat" w:cs="Montserrat"/>
                <w:b/>
                <w:bCs/>
                <w:color w:val="1B2A41"/>
                <w:sz w:val="18"/>
                <w:szCs w:val="18"/>
              </w:rPr>
              <w:t>Evidence-Driven</w:t>
            </w:r>
          </w:p>
          <w:p w14:paraId="102D07C2" w14:textId="77777777" w:rsidR="00B07956" w:rsidRDefault="00000000">
            <w:r>
              <w:rPr>
                <w:sz w:val="16"/>
                <w:szCs w:val="16"/>
              </w:rPr>
              <w:t>Every deliverable is grounded in research, not guesswork.</w:t>
            </w:r>
          </w:p>
        </w:tc>
        <w:tc>
          <w:tcPr>
            <w:tcW w:w="2337" w:type="dxa"/>
            <w:tcBorders>
              <w:top w:val="single" w:sz="4" w:space="0" w:color="B98F45"/>
              <w:left w:val="single" w:sz="4" w:space="0" w:color="B98F45"/>
              <w:bottom w:val="single" w:sz="4" w:space="0" w:color="B98F45"/>
              <w:right w:val="single" w:sz="4" w:space="0" w:color="B98F45"/>
            </w:tcBorders>
            <w:shd w:val="clear" w:color="auto" w:fill="F3F2EF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A8F5394" w14:textId="77777777" w:rsidR="00B07956" w:rsidRDefault="00000000">
            <w:pPr>
              <w:spacing w:after="50"/>
            </w:pPr>
            <w:r>
              <w:rPr>
                <w:rFonts w:ascii="Montserrat" w:eastAsia="Montserrat" w:hAnsi="Montserrat" w:cs="Montserrat"/>
                <w:b/>
                <w:bCs/>
                <w:color w:val="1B2A41"/>
                <w:sz w:val="18"/>
                <w:szCs w:val="18"/>
              </w:rPr>
              <w:t>Funder-Aware</w:t>
            </w:r>
          </w:p>
          <w:p w14:paraId="57860DC9" w14:textId="77777777" w:rsidR="00B07956" w:rsidRDefault="00000000">
            <w:r>
              <w:rPr>
                <w:sz w:val="16"/>
                <w:szCs w:val="16"/>
              </w:rPr>
              <w:t>We write with funder priorities and review criteria in mind.</w:t>
            </w:r>
          </w:p>
        </w:tc>
        <w:tc>
          <w:tcPr>
            <w:tcW w:w="2337" w:type="dxa"/>
            <w:tcBorders>
              <w:top w:val="single" w:sz="4" w:space="0" w:color="B98F45"/>
              <w:left w:val="single" w:sz="4" w:space="0" w:color="B98F45"/>
              <w:bottom w:val="single" w:sz="4" w:space="0" w:color="B98F45"/>
              <w:right w:val="single" w:sz="4" w:space="0" w:color="B98F45"/>
            </w:tcBorders>
            <w:shd w:val="clear" w:color="auto" w:fill="F3F2EF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CCBBAA0" w14:textId="77777777" w:rsidR="00B07956" w:rsidRDefault="00000000">
            <w:pPr>
              <w:spacing w:after="50"/>
            </w:pPr>
            <w:r>
              <w:rPr>
                <w:rFonts w:ascii="Montserrat" w:eastAsia="Montserrat" w:hAnsi="Montserrat" w:cs="Montserrat"/>
                <w:b/>
                <w:bCs/>
                <w:color w:val="1B2A41"/>
                <w:sz w:val="18"/>
                <w:szCs w:val="18"/>
              </w:rPr>
              <w:t>Professional</w:t>
            </w:r>
          </w:p>
          <w:p w14:paraId="3EC36777" w14:textId="77777777" w:rsidR="00B07956" w:rsidRDefault="00000000">
            <w:r>
              <w:rPr>
                <w:sz w:val="16"/>
                <w:szCs w:val="16"/>
              </w:rPr>
              <w:t>Consulting-grade documents, formatting, and presentation.</w:t>
            </w:r>
          </w:p>
        </w:tc>
        <w:tc>
          <w:tcPr>
            <w:tcW w:w="2337" w:type="dxa"/>
            <w:tcBorders>
              <w:top w:val="single" w:sz="4" w:space="0" w:color="B98F45"/>
              <w:left w:val="single" w:sz="4" w:space="0" w:color="B98F45"/>
              <w:bottom w:val="single" w:sz="4" w:space="0" w:color="B98F45"/>
              <w:right w:val="single" w:sz="4" w:space="0" w:color="B98F45"/>
            </w:tcBorders>
            <w:shd w:val="clear" w:color="auto" w:fill="F3F2EF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96503D0" w14:textId="77777777" w:rsidR="00B07956" w:rsidRDefault="00000000">
            <w:pPr>
              <w:spacing w:after="50"/>
            </w:pPr>
            <w:r>
              <w:rPr>
                <w:rFonts w:ascii="Montserrat" w:eastAsia="Montserrat" w:hAnsi="Montserrat" w:cs="Montserrat"/>
                <w:b/>
                <w:bCs/>
                <w:color w:val="1B2A41"/>
                <w:sz w:val="18"/>
                <w:szCs w:val="18"/>
              </w:rPr>
              <w:t>Integrated</w:t>
            </w:r>
          </w:p>
          <w:p w14:paraId="63503C9E" w14:textId="77777777" w:rsidR="00B07956" w:rsidRDefault="00000000">
            <w:r>
              <w:rPr>
                <w:sz w:val="16"/>
                <w:szCs w:val="16"/>
              </w:rPr>
              <w:t>Research, funding strategy, and documentation work as one process.</w:t>
            </w:r>
          </w:p>
        </w:tc>
      </w:tr>
    </w:tbl>
    <w:p w14:paraId="62D1C1BA" w14:textId="77777777" w:rsidR="00B07956" w:rsidRDefault="00000000">
      <w:pPr>
        <w:spacing w:before="180"/>
      </w:pPr>
      <w:r>
        <w:rPr>
          <w:b/>
          <w:bCs/>
          <w:color w:val="1B2A41"/>
          <w:sz w:val="18"/>
          <w:szCs w:val="18"/>
        </w:rPr>
        <w:t xml:space="preserve">Portfolio samples </w:t>
      </w:r>
      <w:r>
        <w:t>spanning grant development, funder research, research reporting, technical documentation, and policy communication are available upon request.</w:t>
      </w:r>
    </w:p>
    <w:p w14:paraId="2401F8CE" w14:textId="77777777" w:rsidR="00B07956" w:rsidRDefault="00B07956">
      <w:pPr>
        <w:spacing w:before="20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B07956" w14:paraId="403C86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0" w:type="dxa"/>
            <w:tcBorders>
              <w:top w:val="single" w:sz="24" w:space="0" w:color="B98F45"/>
            </w:tcBorders>
            <w:shd w:val="clear" w:color="auto" w:fill="1B2A41"/>
            <w:tcMar>
              <w:top w:w="220" w:type="dxa"/>
              <w:left w:w="340" w:type="dxa"/>
              <w:bottom w:w="220" w:type="dxa"/>
              <w:right w:w="340" w:type="dxa"/>
            </w:tcMar>
          </w:tcPr>
          <w:p w14:paraId="7AB2B074" w14:textId="77777777" w:rsidR="00B07956" w:rsidRDefault="00000000">
            <w:pPr>
              <w:spacing w:after="100"/>
            </w:pPr>
            <w:r>
              <w:rPr>
                <w:rFonts w:ascii="Montserrat" w:eastAsia="Montserrat" w:hAnsi="Montserrat" w:cs="Montserrat"/>
                <w:b/>
                <w:bCs/>
                <w:color w:val="B98F45"/>
                <w:spacing w:val="10"/>
                <w:sz w:val="17"/>
                <w:szCs w:val="17"/>
              </w:rPr>
              <w:t>CONTACT</w:t>
            </w:r>
          </w:p>
          <w:p w14:paraId="34284621" w14:textId="77777777" w:rsidR="00B07956" w:rsidRDefault="00000000">
            <w:pPr>
              <w:spacing w:after="60"/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17"/>
                <w:szCs w:val="17"/>
              </w:rPr>
              <w:t>Email</w:t>
            </w:r>
            <w:proofErr w:type="gram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17"/>
                <w:szCs w:val="17"/>
              </w:rPr>
              <w:t xml:space="preserve">:  </w:t>
            </w:r>
            <w:r>
              <w:rPr>
                <w:color w:val="FFFFFF"/>
                <w:sz w:val="17"/>
                <w:szCs w:val="17"/>
              </w:rPr>
              <w:t>[</w:t>
            </w:r>
            <w:proofErr w:type="gramEnd"/>
            <w:r>
              <w:rPr>
                <w:color w:val="FFFFFF"/>
                <w:sz w:val="17"/>
                <w:szCs w:val="17"/>
              </w:rPr>
              <w:t>professional email address]</w:t>
            </w:r>
          </w:p>
          <w:p w14:paraId="081740B9" w14:textId="77777777" w:rsidR="00B07956" w:rsidRDefault="00000000">
            <w:pPr>
              <w:spacing w:after="60"/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17"/>
                <w:szCs w:val="17"/>
              </w:rPr>
              <w:t>Website</w:t>
            </w:r>
            <w:proofErr w:type="gram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17"/>
                <w:szCs w:val="17"/>
              </w:rPr>
              <w:t xml:space="preserve">:  </w:t>
            </w:r>
            <w:r>
              <w:rPr>
                <w:color w:val="FFFFFF"/>
                <w:sz w:val="17"/>
                <w:szCs w:val="17"/>
              </w:rPr>
              <w:t>[</w:t>
            </w:r>
            <w:proofErr w:type="gramEnd"/>
            <w:r>
              <w:rPr>
                <w:color w:val="FFFFFF"/>
                <w:sz w:val="17"/>
                <w:szCs w:val="17"/>
              </w:rPr>
              <w:t>website URL]</w:t>
            </w:r>
          </w:p>
          <w:p w14:paraId="7F1ABFC9" w14:textId="77777777" w:rsidR="00B07956" w:rsidRDefault="00000000">
            <w:pPr>
              <w:spacing w:after="60"/>
            </w:pPr>
            <w:r>
              <w:rPr>
                <w:rFonts w:ascii="Montserrat" w:eastAsia="Montserrat" w:hAnsi="Montserrat" w:cs="Montserrat"/>
                <w:b/>
                <w:bCs/>
                <w:color w:val="FFFFFF"/>
                <w:sz w:val="17"/>
                <w:szCs w:val="17"/>
              </w:rPr>
              <w:t>LinkedIn</w:t>
            </w:r>
            <w:proofErr w:type="gramStart"/>
            <w:r>
              <w:rPr>
                <w:rFonts w:ascii="Montserrat" w:eastAsia="Montserrat" w:hAnsi="Montserrat" w:cs="Montserrat"/>
                <w:b/>
                <w:bCs/>
                <w:color w:val="FFFFFF"/>
                <w:sz w:val="17"/>
                <w:szCs w:val="17"/>
              </w:rPr>
              <w:t xml:space="preserve">:  </w:t>
            </w:r>
            <w:r>
              <w:rPr>
                <w:color w:val="FFFFFF"/>
                <w:sz w:val="17"/>
                <w:szCs w:val="17"/>
              </w:rPr>
              <w:t>[</w:t>
            </w:r>
            <w:proofErr w:type="gramEnd"/>
            <w:r>
              <w:rPr>
                <w:color w:val="FFFFFF"/>
                <w:sz w:val="17"/>
                <w:szCs w:val="17"/>
              </w:rPr>
              <w:t>LinkedIn company page URL]</w:t>
            </w:r>
          </w:p>
        </w:tc>
      </w:tr>
    </w:tbl>
    <w:p w14:paraId="6CF7CF78" w14:textId="77777777" w:rsidR="00A75C97" w:rsidRDefault="00A75C97"/>
    <w:sectPr w:rsidR="00A75C97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ter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141CD"/>
    <w:multiLevelType w:val="hybridMultilevel"/>
    <w:tmpl w:val="26B8CB74"/>
    <w:lvl w:ilvl="0" w:tplc="DDE66D1C">
      <w:start w:val="1"/>
      <w:numFmt w:val="bullet"/>
      <w:lvlText w:val="•"/>
      <w:lvlJc w:val="left"/>
      <w:pPr>
        <w:ind w:left="320" w:hanging="200"/>
      </w:pPr>
    </w:lvl>
    <w:lvl w:ilvl="1" w:tplc="5CC8F220">
      <w:numFmt w:val="decimal"/>
      <w:lvlText w:val=""/>
      <w:lvlJc w:val="left"/>
    </w:lvl>
    <w:lvl w:ilvl="2" w:tplc="3D60EFA8">
      <w:numFmt w:val="decimal"/>
      <w:lvlText w:val=""/>
      <w:lvlJc w:val="left"/>
    </w:lvl>
    <w:lvl w:ilvl="3" w:tplc="7FA8EAF2">
      <w:numFmt w:val="decimal"/>
      <w:lvlText w:val=""/>
      <w:lvlJc w:val="left"/>
    </w:lvl>
    <w:lvl w:ilvl="4" w:tplc="0C1834A8">
      <w:numFmt w:val="decimal"/>
      <w:lvlText w:val=""/>
      <w:lvlJc w:val="left"/>
    </w:lvl>
    <w:lvl w:ilvl="5" w:tplc="575CD1BA">
      <w:numFmt w:val="decimal"/>
      <w:lvlText w:val=""/>
      <w:lvlJc w:val="left"/>
    </w:lvl>
    <w:lvl w:ilvl="6" w:tplc="7DB2A8C6">
      <w:numFmt w:val="decimal"/>
      <w:lvlText w:val=""/>
      <w:lvlJc w:val="left"/>
    </w:lvl>
    <w:lvl w:ilvl="7" w:tplc="420C2EFC">
      <w:numFmt w:val="decimal"/>
      <w:lvlText w:val=""/>
      <w:lvlJc w:val="left"/>
    </w:lvl>
    <w:lvl w:ilvl="8" w:tplc="FF46CE32">
      <w:numFmt w:val="decimal"/>
      <w:lvlText w:val=""/>
      <w:lvlJc w:val="left"/>
    </w:lvl>
  </w:abstractNum>
  <w:abstractNum w:abstractNumId="1" w15:restartNumberingAfterBreak="0">
    <w:nsid w:val="1DD643E8"/>
    <w:multiLevelType w:val="hybridMultilevel"/>
    <w:tmpl w:val="9FA03BC0"/>
    <w:lvl w:ilvl="0" w:tplc="8C865BC6">
      <w:start w:val="1"/>
      <w:numFmt w:val="bullet"/>
      <w:lvlText w:val="●"/>
      <w:lvlJc w:val="left"/>
      <w:pPr>
        <w:ind w:left="720" w:hanging="360"/>
      </w:pPr>
    </w:lvl>
    <w:lvl w:ilvl="1" w:tplc="5160542C">
      <w:start w:val="1"/>
      <w:numFmt w:val="bullet"/>
      <w:lvlText w:val="○"/>
      <w:lvlJc w:val="left"/>
      <w:pPr>
        <w:ind w:left="1440" w:hanging="360"/>
      </w:pPr>
    </w:lvl>
    <w:lvl w:ilvl="2" w:tplc="78CA6096">
      <w:start w:val="1"/>
      <w:numFmt w:val="bullet"/>
      <w:lvlText w:val="■"/>
      <w:lvlJc w:val="left"/>
      <w:pPr>
        <w:ind w:left="2160" w:hanging="360"/>
      </w:pPr>
    </w:lvl>
    <w:lvl w:ilvl="3" w:tplc="C430F042">
      <w:start w:val="1"/>
      <w:numFmt w:val="bullet"/>
      <w:lvlText w:val="●"/>
      <w:lvlJc w:val="left"/>
      <w:pPr>
        <w:ind w:left="2880" w:hanging="360"/>
      </w:pPr>
    </w:lvl>
    <w:lvl w:ilvl="4" w:tplc="B254B5DC">
      <w:start w:val="1"/>
      <w:numFmt w:val="bullet"/>
      <w:lvlText w:val="○"/>
      <w:lvlJc w:val="left"/>
      <w:pPr>
        <w:ind w:left="3600" w:hanging="360"/>
      </w:pPr>
    </w:lvl>
    <w:lvl w:ilvl="5" w:tplc="592A398E">
      <w:start w:val="1"/>
      <w:numFmt w:val="bullet"/>
      <w:lvlText w:val="■"/>
      <w:lvlJc w:val="left"/>
      <w:pPr>
        <w:ind w:left="4320" w:hanging="360"/>
      </w:pPr>
    </w:lvl>
    <w:lvl w:ilvl="6" w:tplc="6352DB18">
      <w:start w:val="1"/>
      <w:numFmt w:val="bullet"/>
      <w:lvlText w:val="●"/>
      <w:lvlJc w:val="left"/>
      <w:pPr>
        <w:ind w:left="5040" w:hanging="360"/>
      </w:pPr>
    </w:lvl>
    <w:lvl w:ilvl="7" w:tplc="CA34B436">
      <w:start w:val="1"/>
      <w:numFmt w:val="bullet"/>
      <w:lvlText w:val="●"/>
      <w:lvlJc w:val="left"/>
      <w:pPr>
        <w:ind w:left="5760" w:hanging="360"/>
      </w:pPr>
    </w:lvl>
    <w:lvl w:ilvl="8" w:tplc="0C1E1B20">
      <w:start w:val="1"/>
      <w:numFmt w:val="bullet"/>
      <w:lvlText w:val="●"/>
      <w:lvlJc w:val="left"/>
      <w:pPr>
        <w:ind w:left="6480" w:hanging="360"/>
      </w:pPr>
    </w:lvl>
  </w:abstractNum>
  <w:num w:numId="1" w16cid:durableId="445276980">
    <w:abstractNumId w:val="1"/>
    <w:lvlOverride w:ilvl="0">
      <w:startOverride w:val="1"/>
    </w:lvlOverride>
  </w:num>
  <w:num w:numId="2" w16cid:durableId="18437344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956"/>
    <w:rsid w:val="00A75C97"/>
    <w:rsid w:val="00B07956"/>
    <w:rsid w:val="00E815A2"/>
    <w:rsid w:val="00F8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6340A"/>
  <w15:docId w15:val="{8C6C8197-AF73-4BC3-9150-4DD01B78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" w:eastAsia="Inter" w:hAnsi="Inter" w:cs="Inter"/>
        <w:color w:val="2222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HomePC</cp:lastModifiedBy>
  <cp:revision>2</cp:revision>
  <dcterms:created xsi:type="dcterms:W3CDTF">2026-08-16T07:14:00Z</dcterms:created>
  <dcterms:modified xsi:type="dcterms:W3CDTF">2026-08-16T07:14:00Z</dcterms:modified>
</cp:coreProperties>
</file>