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DE3D2" w14:textId="77777777" w:rsidR="00A440CF" w:rsidRDefault="00A440CF">
      <w:pPr>
        <w:spacing w:before="2400"/>
      </w:pPr>
    </w:p>
    <w:p w14:paraId="2629D232" w14:textId="77777777" w:rsidR="00A440CF" w:rsidRDefault="00000000">
      <w:pPr>
        <w:jc w:val="center"/>
      </w:pPr>
      <w:r>
        <w:rPr>
          <w:rFonts w:ascii="Montserrat" w:eastAsia="Montserrat" w:hAnsi="Montserrat" w:cs="Montserrat"/>
          <w:b/>
          <w:bCs/>
          <w:color w:val="1B2A41"/>
          <w:spacing w:val="20"/>
          <w:sz w:val="30"/>
          <w:szCs w:val="30"/>
        </w:rPr>
        <w:t>ASPIRE RESEARCH &amp; CONSULTING</w:t>
      </w:r>
    </w:p>
    <w:p w14:paraId="2D719903" w14:textId="77777777" w:rsidR="00A440CF" w:rsidRDefault="00000000">
      <w:pPr>
        <w:spacing w:after="900"/>
        <w:jc w:val="center"/>
      </w:pPr>
      <w:r>
        <w:rPr>
          <w:i/>
          <w:iCs/>
          <w:color w:val="B98F45"/>
          <w:sz w:val="20"/>
          <w:szCs w:val="20"/>
        </w:rPr>
        <w:t>Research. Funding. Impact.</w:t>
      </w:r>
    </w:p>
    <w:p w14:paraId="7A07E18D" w14:textId="77777777" w:rsidR="00A440CF" w:rsidRDefault="00000000">
      <w:pPr>
        <w:spacing w:before="800" w:after="200"/>
        <w:jc w:val="center"/>
      </w:pPr>
      <w:r>
        <w:rPr>
          <w:rFonts w:ascii="Montserrat" w:eastAsia="Montserrat" w:hAnsi="Montserrat" w:cs="Montserrat"/>
          <w:b/>
          <w:bCs/>
          <w:color w:val="1B2A41"/>
          <w:sz w:val="44"/>
          <w:szCs w:val="44"/>
        </w:rPr>
        <w:t>COMMUNITY MENTAL HEALTH ACCESS INITIATIVE</w:t>
      </w:r>
    </w:p>
    <w:p w14:paraId="1B64D9C8" w14:textId="77777777" w:rsidR="00A440CF" w:rsidRDefault="00000000">
      <w:pPr>
        <w:spacing w:after="100"/>
        <w:jc w:val="center"/>
      </w:pPr>
      <w:r>
        <w:rPr>
          <w:color w:val="6E6E6E"/>
        </w:rPr>
        <w:t>A Grant Proposal Submitted on Behalf of</w:t>
      </w:r>
    </w:p>
    <w:p w14:paraId="0703955E" w14:textId="77777777" w:rsidR="00A440CF" w:rsidRDefault="00000000">
      <w:pPr>
        <w:spacing w:after="700"/>
        <w:jc w:val="center"/>
      </w:pPr>
      <w:r>
        <w:rPr>
          <w:rFonts w:ascii="Montserrat" w:eastAsia="Montserrat" w:hAnsi="Montserrat" w:cs="Montserrat"/>
          <w:b/>
          <w:bCs/>
          <w:color w:val="2F4A3D"/>
          <w:sz w:val="26"/>
          <w:szCs w:val="26"/>
        </w:rPr>
        <w:t>Community Wellness Initiative (CWI)</w:t>
      </w:r>
    </w:p>
    <w:p w14:paraId="2F85E41B" w14:textId="77777777" w:rsidR="00A440CF" w:rsidRDefault="00000000">
      <w:pPr>
        <w:spacing w:after="60"/>
        <w:jc w:val="center"/>
      </w:pPr>
      <w:r>
        <w:rPr>
          <w:rFonts w:ascii="Montserrat" w:eastAsia="Montserrat" w:hAnsi="Montserrat" w:cs="Montserrat"/>
          <w:b/>
          <w:bCs/>
          <w:color w:val="B98F45"/>
          <w:spacing w:val="10"/>
          <w:sz w:val="20"/>
          <w:szCs w:val="20"/>
        </w:rPr>
        <w:t>PORTFOLIO SAMPLE — ILLUSTRATIVE DOCUMENT</w:t>
      </w:r>
    </w:p>
    <w:p w14:paraId="3E8CB90C" w14:textId="77777777" w:rsidR="00A440CF" w:rsidRDefault="00000000">
      <w:pPr>
        <w:spacing w:after="1200"/>
        <w:jc w:val="center"/>
      </w:pPr>
      <w:r>
        <w:rPr>
          <w:color w:val="6E6E6E"/>
          <w:sz w:val="20"/>
          <w:szCs w:val="20"/>
        </w:rPr>
        <w:t>Prepared by Aspire Research &amp; Consulting</w:t>
      </w:r>
    </w:p>
    <w:p w14:paraId="37A3E803" w14:textId="77777777" w:rsidR="00A440CF" w:rsidRDefault="00000000">
      <w:pPr>
        <w:spacing w:before="2600"/>
        <w:jc w:val="center"/>
      </w:pPr>
      <w:r>
        <w:rPr>
          <w:color w:val="6E6E6E"/>
          <w:sz w:val="20"/>
          <w:szCs w:val="20"/>
        </w:rPr>
        <w:t>August 2026</w:t>
      </w:r>
    </w:p>
    <w:p w14:paraId="26088F16" w14:textId="77777777" w:rsidR="00A440CF" w:rsidRDefault="00A440CF">
      <w:pPr>
        <w:sectPr w:rsidR="00A440CF">
          <w:pgSz w:w="12240" w:h="15840"/>
          <w:pgMar w:top="1080" w:right="1260" w:bottom="1080" w:left="1260" w:header="708" w:footer="708" w:gutter="0"/>
          <w:cols w:space="720"/>
          <w:docGrid w:linePitch="360"/>
        </w:sectPr>
      </w:pPr>
    </w:p>
    <w:p w14:paraId="31660A39" w14:textId="77777777" w:rsidR="00A440CF" w:rsidRDefault="00000000">
      <w:pPr>
        <w:pStyle w:val="Heading1"/>
        <w:pBdr>
          <w:bottom w:val="single" w:sz="8" w:space="4" w:color="B98F45"/>
        </w:pBdr>
        <w:spacing w:before="400" w:after="200"/>
      </w:pPr>
      <w:r>
        <w:lastRenderedPageBreak/>
        <w:t>Portfolio Sample Disclosure</w:t>
      </w:r>
    </w:p>
    <w:p w14:paraId="32A2EE45" w14:textId="77777777" w:rsidR="00A440CF" w:rsidRDefault="00000000">
      <w:pPr>
        <w:pBdr>
          <w:top w:val="single" w:sz="6" w:space="8" w:color="B98F45"/>
          <w:left w:val="single" w:sz="6" w:space="8" w:color="B98F45"/>
          <w:bottom w:val="single" w:sz="6" w:space="8" w:color="B98F45"/>
          <w:right w:val="single" w:sz="6" w:space="8" w:color="B98F45"/>
        </w:pBdr>
        <w:shd w:val="clear" w:color="auto" w:fill="F3F2EF"/>
        <w:spacing w:before="200" w:after="400"/>
      </w:pPr>
      <w:r>
        <w:rPr>
          <w:i/>
          <w:iCs/>
          <w:color w:val="1B2A41"/>
          <w:sz w:val="20"/>
          <w:szCs w:val="20"/>
        </w:rPr>
        <w:t>This document is an illustrative example created by Aspire Research &amp; Consulting to demonstrate research, grant development, and technical documentation capabilities. Community Wellness Initiative (CWI), the Community Mental Health Access Initiative, and all associated organizational details, statistics, and narratives are fictional and created for demonstration purposes only. No real nonprofit has commissioned this proposal, no real funder has reviewed it, and no funding has been requested or received in connection with it. Any resemblance to real organizations or programs is coincidental.</w:t>
      </w:r>
    </w:p>
    <w:p w14:paraId="2F9BA46F" w14:textId="77777777" w:rsidR="00A440CF" w:rsidRDefault="00000000">
      <w:pPr>
        <w:spacing w:after="160" w:line="276" w:lineRule="auto"/>
        <w:jc w:val="both"/>
      </w:pPr>
      <w:r>
        <w:t>This sample is one of five flagship portfolio pieces prepared by Aspire Research &amp; Consulting to demonstrate the firm's capability across grant development, funder research, research reporting, technical documentation, and policy communication. It has been formatted to reflect the structure, depth, and professional presentation of a genuine grant proposal so that prospective clients can evaluate Aspire's approach to this kind of deliverable.</w:t>
      </w:r>
    </w:p>
    <w:p w14:paraId="0100083A" w14:textId="77777777" w:rsidR="00A440CF" w:rsidRDefault="00000000">
      <w:pPr>
        <w:spacing w:after="160" w:line="276" w:lineRule="auto"/>
        <w:jc w:val="both"/>
      </w:pPr>
      <w:r>
        <w:t>Illustrative citations used throughout this document (see the References section) represent the types of sources Aspire typically draws on in real client engagements — including government health data, peer-reviewed literature, and local needs assessments — and are included here to demonstrate formatting and integration of evidence rather than to assert verified findings.</w:t>
      </w:r>
    </w:p>
    <w:p w14:paraId="79483AA3" w14:textId="77777777" w:rsidR="00A440CF" w:rsidRDefault="00000000">
      <w:r>
        <w:br w:type="page"/>
      </w:r>
    </w:p>
    <w:p w14:paraId="62FE6771" w14:textId="77777777" w:rsidR="00A440CF" w:rsidRDefault="00000000">
      <w:pPr>
        <w:pStyle w:val="Heading1"/>
        <w:pBdr>
          <w:bottom w:val="single" w:sz="8" w:space="4" w:color="B98F45"/>
        </w:pBdr>
        <w:spacing w:before="400" w:after="200"/>
      </w:pPr>
      <w:r>
        <w:lastRenderedPageBreak/>
        <w:t>Table of Contents</w:t>
      </w:r>
    </w:p>
    <w:p w14:paraId="54D3328A" w14:textId="77777777" w:rsidR="00A440CF" w:rsidRDefault="00000000">
      <w:pPr>
        <w:spacing w:after="180"/>
      </w:pPr>
      <w:r>
        <w:t>1. Executive Summary</w:t>
      </w:r>
    </w:p>
    <w:p w14:paraId="4546C5D4" w14:textId="77777777" w:rsidR="00A440CF" w:rsidRDefault="00000000">
      <w:pPr>
        <w:spacing w:after="180"/>
      </w:pPr>
      <w:r>
        <w:t>2. Organizational Background</w:t>
      </w:r>
    </w:p>
    <w:p w14:paraId="47202CDB" w14:textId="77777777" w:rsidR="00A440CF" w:rsidRDefault="00000000">
      <w:pPr>
        <w:spacing w:after="180"/>
      </w:pPr>
      <w:r>
        <w:t>3. Statement of Need</w:t>
      </w:r>
    </w:p>
    <w:p w14:paraId="3865BB67" w14:textId="77777777" w:rsidR="00A440CF" w:rsidRDefault="00000000">
      <w:pPr>
        <w:spacing w:after="180"/>
      </w:pPr>
      <w:r>
        <w:t>4. Project Description</w:t>
      </w:r>
    </w:p>
    <w:p w14:paraId="31D34333" w14:textId="77777777" w:rsidR="00A440CF" w:rsidRDefault="00000000">
      <w:pPr>
        <w:spacing w:after="180"/>
      </w:pPr>
      <w:r>
        <w:t>5. Goals</w:t>
      </w:r>
    </w:p>
    <w:p w14:paraId="10C5BAC5" w14:textId="77777777" w:rsidR="00A440CF" w:rsidRDefault="00000000">
      <w:pPr>
        <w:spacing w:after="180"/>
      </w:pPr>
      <w:r>
        <w:t>6. SMART Objectives</w:t>
      </w:r>
    </w:p>
    <w:p w14:paraId="0C9AD6BC" w14:textId="77777777" w:rsidR="00A440CF" w:rsidRDefault="00000000">
      <w:pPr>
        <w:spacing w:after="180"/>
      </w:pPr>
      <w:r>
        <w:t>7. Activities</w:t>
      </w:r>
    </w:p>
    <w:p w14:paraId="2B2CA27F" w14:textId="77777777" w:rsidR="00A440CF" w:rsidRDefault="00000000">
      <w:pPr>
        <w:spacing w:after="180"/>
      </w:pPr>
      <w:r>
        <w:t>8. Target Population</w:t>
      </w:r>
    </w:p>
    <w:p w14:paraId="6A629E74" w14:textId="77777777" w:rsidR="00A440CF" w:rsidRDefault="00000000">
      <w:pPr>
        <w:spacing w:after="180"/>
      </w:pPr>
      <w:r>
        <w:t>9. Implementation Plan</w:t>
      </w:r>
    </w:p>
    <w:p w14:paraId="6465AA72" w14:textId="77777777" w:rsidR="00A440CF" w:rsidRDefault="00000000">
      <w:pPr>
        <w:spacing w:after="180"/>
      </w:pPr>
      <w:r>
        <w:t>10. Expected Outcomes</w:t>
      </w:r>
    </w:p>
    <w:p w14:paraId="2B48BD3E" w14:textId="77777777" w:rsidR="00A440CF" w:rsidRDefault="00000000">
      <w:pPr>
        <w:spacing w:after="180"/>
      </w:pPr>
      <w:r>
        <w:t>11. Evaluation</w:t>
      </w:r>
    </w:p>
    <w:p w14:paraId="2090C798" w14:textId="77777777" w:rsidR="00A440CF" w:rsidRDefault="00000000">
      <w:pPr>
        <w:spacing w:after="180"/>
      </w:pPr>
      <w:r>
        <w:t>12. Sustainability</w:t>
      </w:r>
    </w:p>
    <w:p w14:paraId="6D45E46A" w14:textId="77777777" w:rsidR="00A440CF" w:rsidRDefault="00000000">
      <w:pPr>
        <w:spacing w:after="180"/>
      </w:pPr>
      <w:r>
        <w:t>13. Organizational Capacity</w:t>
      </w:r>
    </w:p>
    <w:p w14:paraId="2D589A50" w14:textId="77777777" w:rsidR="00A440CF" w:rsidRDefault="00000000">
      <w:pPr>
        <w:spacing w:after="180"/>
      </w:pPr>
      <w:r>
        <w:t>14. Budget Narrative</w:t>
      </w:r>
    </w:p>
    <w:p w14:paraId="3B24C6CE" w14:textId="77777777" w:rsidR="00A440CF" w:rsidRDefault="00000000">
      <w:pPr>
        <w:spacing w:after="180"/>
      </w:pPr>
      <w:r>
        <w:t>15. Conclusion</w:t>
      </w:r>
    </w:p>
    <w:p w14:paraId="0CEB9B37" w14:textId="77777777" w:rsidR="00A440CF" w:rsidRDefault="00000000">
      <w:pPr>
        <w:spacing w:after="180"/>
      </w:pPr>
      <w:r>
        <w:t>16. References</w:t>
      </w:r>
    </w:p>
    <w:p w14:paraId="45AE404E" w14:textId="77777777" w:rsidR="00A440CF" w:rsidRDefault="00000000">
      <w:r>
        <w:br w:type="page"/>
      </w:r>
    </w:p>
    <w:p w14:paraId="48E5DA6F" w14:textId="77777777" w:rsidR="00A440CF" w:rsidRDefault="00000000">
      <w:pPr>
        <w:pStyle w:val="Heading1"/>
        <w:pBdr>
          <w:bottom w:val="single" w:sz="8" w:space="4" w:color="B98F45"/>
        </w:pBdr>
        <w:spacing w:before="400" w:after="200"/>
      </w:pPr>
      <w:r>
        <w:lastRenderedPageBreak/>
        <w:t>1. Executive Summary</w:t>
      </w:r>
    </w:p>
    <w:p w14:paraId="34F9B5F5" w14:textId="77777777" w:rsidR="00A440CF" w:rsidRDefault="00000000">
      <w:pPr>
        <w:spacing w:after="160" w:line="276" w:lineRule="auto"/>
        <w:jc w:val="both"/>
      </w:pPr>
      <w:r>
        <w:t xml:space="preserve">Community Wellness Initiative (CWI), a nonprofit organization based in Ashford County, respectfully requests a grant of $75,000 over a 12-month period to launch the Community Mental Health Access Initiative (CMHAI). This project will expand access to community-based mental health services for underserved adults across Ashford County, where a substantial share of low-income residents </w:t>
      </w:r>
      <w:proofErr w:type="gramStart"/>
      <w:r>
        <w:t>report</w:t>
      </w:r>
      <w:proofErr w:type="gramEnd"/>
      <w:r>
        <w:t xml:space="preserve"> unmet mental health needs and persistent barriers to affordable, culturally responsive care.</w:t>
      </w:r>
    </w:p>
    <w:p w14:paraId="6AC6457A" w14:textId="77777777" w:rsidR="00A440CF" w:rsidRDefault="00000000">
      <w:pPr>
        <w:spacing w:after="160" w:line="276" w:lineRule="auto"/>
        <w:jc w:val="both"/>
      </w:pPr>
      <w:r>
        <w:t>Through a combination of peer support groups, subsidized short-term counseling, trained community health worker outreach, and a centralized referral and navigation system, CMHAI will serve approximately 250 adults during its first year of operation. The project directly addresses three of the most commonly cited barriers to mental health access in underserved communities: cost, stigma, and difficulty navigating fragmented service systems.</w:t>
      </w:r>
    </w:p>
    <w:p w14:paraId="5364527A" w14:textId="77777777" w:rsidR="00A440CF" w:rsidRDefault="00000000">
      <w:pPr>
        <w:spacing w:after="160" w:line="276" w:lineRule="auto"/>
        <w:jc w:val="both"/>
      </w:pPr>
      <w:r>
        <w:t>CWI brings six years of direct community health experience, existing partnerships with two federally qualified health centers, and an established volunteer network to this effort. This proposal outlines the need for the project, CWI's strategy for addressing that need, the activities and timeline through which the project will be implemented, and the outcomes, evaluation plan, and sustainability strategy that will guide the initiative beyond the grant period.</w:t>
      </w:r>
    </w:p>
    <w:p w14:paraId="4ABD0795" w14:textId="77777777" w:rsidR="00A440CF" w:rsidRDefault="00000000">
      <w:pPr>
        <w:spacing w:after="160" w:line="276" w:lineRule="auto"/>
        <w:jc w:val="both"/>
      </w:pPr>
      <w:r>
        <w:t>We welcome the opportunity to discuss this proposal further and to demonstrate how a $75,000 investment in the Community Mental Health Access Initiative will produce measurable, lasting benefit for the residents of Ashford County.</w:t>
      </w:r>
    </w:p>
    <w:p w14:paraId="50D8C33B" w14:textId="77777777" w:rsidR="00A440CF" w:rsidRDefault="00000000">
      <w:pPr>
        <w:pStyle w:val="Heading1"/>
        <w:pBdr>
          <w:bottom w:val="single" w:sz="8" w:space="4" w:color="B98F45"/>
        </w:pBdr>
        <w:spacing w:before="400" w:after="200"/>
      </w:pPr>
      <w:r>
        <w:t>2. Organizational Background</w:t>
      </w:r>
    </w:p>
    <w:p w14:paraId="26C6A20D" w14:textId="77777777" w:rsidR="00A440CF" w:rsidRDefault="00000000">
      <w:pPr>
        <w:spacing w:after="160" w:line="276" w:lineRule="auto"/>
        <w:jc w:val="both"/>
      </w:pPr>
      <w:r>
        <w:t>Community Wellness Initiative (CWI) is a 501(c)(3) nonprofit organization founded in 2019 to improve health and wellbeing outcomes for underserved residents of Ashford County. CWI's mission is to expand equitable access to community health services through direct support, education, and partnership.</w:t>
      </w:r>
    </w:p>
    <w:p w14:paraId="2D438A9D" w14:textId="77777777" w:rsidR="00A440CF" w:rsidRDefault="00000000">
      <w:pPr>
        <w:spacing w:before="200" w:after="100"/>
      </w:pPr>
      <w:r>
        <w:rPr>
          <w:rFonts w:ascii="Montserrat" w:eastAsia="Montserrat" w:hAnsi="Montserrat" w:cs="Montserrat"/>
          <w:b/>
          <w:bCs/>
          <w:color w:val="1B2A41"/>
          <w:sz w:val="21"/>
          <w:szCs w:val="21"/>
        </w:rPr>
        <w:t>2.1 History and Track Record</w:t>
      </w:r>
    </w:p>
    <w:p w14:paraId="1329843A" w14:textId="77777777" w:rsidR="00A440CF" w:rsidRDefault="00000000">
      <w:pPr>
        <w:spacing w:after="160" w:line="276" w:lineRule="auto"/>
        <w:jc w:val="both"/>
      </w:pPr>
      <w:r>
        <w:t>Since its founding, CWI has operated a network of trained community health liaisons who connect residents with primary care, hosted recurring wellness education workshops in partnership with local libraries and community centers, and maintained active referral relationships with two federally qualified health centers serving Ashford County. In its most recent full program year, CWI's community health liaisons supported over 600 individual resident contacts, and its wellness workshop series reached more than 40 sessions across four neighborhoods.</w:t>
      </w:r>
    </w:p>
    <w:p w14:paraId="3AC25AB8" w14:textId="77777777" w:rsidR="00A440CF" w:rsidRDefault="00000000">
      <w:pPr>
        <w:spacing w:before="200" w:after="100"/>
      </w:pPr>
      <w:r>
        <w:rPr>
          <w:rFonts w:ascii="Montserrat" w:eastAsia="Montserrat" w:hAnsi="Montserrat" w:cs="Montserrat"/>
          <w:b/>
          <w:bCs/>
          <w:color w:val="1B2A41"/>
          <w:sz w:val="21"/>
          <w:szCs w:val="21"/>
        </w:rPr>
        <w:t>2.2 Governance and Staffing</w:t>
      </w:r>
    </w:p>
    <w:p w14:paraId="4D1F20C8" w14:textId="77777777" w:rsidR="00A440CF" w:rsidRDefault="00000000">
      <w:pPr>
        <w:spacing w:after="160" w:line="276" w:lineRule="auto"/>
        <w:jc w:val="both"/>
      </w:pPr>
      <w:r>
        <w:t>CWI is governed by a nine-member volunteer board of directors with collective backgrounds in public health, clinical social work, nonprofit finance, and community organizing. The organization currently employs six full-time staff, including an Executive Director, a Programs Director, two Community Health Coordinators, an Office Manager, and a Data and Evaluation Coordinator, supported by a trained network of fifteen community volunteers.</w:t>
      </w:r>
    </w:p>
    <w:p w14:paraId="3E396DA0" w14:textId="77777777" w:rsidR="00A440CF" w:rsidRDefault="00000000">
      <w:pPr>
        <w:spacing w:before="200" w:after="100"/>
      </w:pPr>
      <w:r>
        <w:rPr>
          <w:rFonts w:ascii="Montserrat" w:eastAsia="Montserrat" w:hAnsi="Montserrat" w:cs="Montserrat"/>
          <w:b/>
          <w:bCs/>
          <w:color w:val="1B2A41"/>
          <w:sz w:val="21"/>
          <w:szCs w:val="21"/>
        </w:rPr>
        <w:t>2.3 Alignment with Proposed Project</w:t>
      </w:r>
    </w:p>
    <w:p w14:paraId="3C2F6C37" w14:textId="77777777" w:rsidR="00A440CF" w:rsidRDefault="00000000">
      <w:pPr>
        <w:spacing w:after="160" w:line="276" w:lineRule="auto"/>
        <w:jc w:val="both"/>
      </w:pPr>
      <w:r>
        <w:lastRenderedPageBreak/>
        <w:t>CWI's existing infrastructure — including its referral relationships, community trust, and data collection systems — positions the organization to implement the Community Mental Health Access Initiative efficiently and to sustain its core components after the grant period ends.</w:t>
      </w:r>
    </w:p>
    <w:p w14:paraId="025752B3" w14:textId="77777777" w:rsidR="00A440CF" w:rsidRDefault="00000000">
      <w:pPr>
        <w:pStyle w:val="Heading1"/>
        <w:pBdr>
          <w:bottom w:val="single" w:sz="8" w:space="4" w:color="B98F45"/>
        </w:pBdr>
        <w:spacing w:before="400" w:after="200"/>
      </w:pPr>
      <w:r>
        <w:t>3. Statement of Need</w:t>
      </w:r>
    </w:p>
    <w:p w14:paraId="6B0C52E6" w14:textId="77777777" w:rsidR="00A440CF" w:rsidRDefault="00000000">
      <w:pPr>
        <w:spacing w:after="160" w:line="276" w:lineRule="auto"/>
        <w:jc w:val="both"/>
      </w:pPr>
      <w:r>
        <w:t>Ashford County faces a well-documented gap between the demand for mental health services and the community's ability to access them. National and regional research consistently identifies three primary barriers to mental health access among low-income and underserved adults: the cost of care, stigma associated with seeking treatment, and difficulty navigating a fragmented service landscape — patterns that CWI's own community health liaisons have observed directly in their work across Ashford County neighborhoods.</w:t>
      </w:r>
    </w:p>
    <w:p w14:paraId="52D53266" w14:textId="77777777" w:rsidR="00A440CF" w:rsidRDefault="00000000">
      <w:pPr>
        <w:spacing w:before="200" w:after="100"/>
      </w:pPr>
      <w:r>
        <w:rPr>
          <w:rFonts w:ascii="Montserrat" w:eastAsia="Montserrat" w:hAnsi="Montserrat" w:cs="Montserrat"/>
          <w:b/>
          <w:bCs/>
          <w:color w:val="1B2A41"/>
          <w:sz w:val="21"/>
          <w:szCs w:val="21"/>
        </w:rPr>
        <w:t>3.1 Cost Barriers</w:t>
      </w:r>
    </w:p>
    <w:p w14:paraId="57FB52BD" w14:textId="77777777" w:rsidR="00A440CF" w:rsidRDefault="00000000">
      <w:pPr>
        <w:spacing w:after="160" w:line="276" w:lineRule="auto"/>
        <w:jc w:val="both"/>
      </w:pPr>
      <w:r>
        <w:t>A large proportion of underserved adults in Ashford County are uninsured or underinsured, and many report that out-of-pocket costs are the primary reason they have not pursued counseling or psychiatric care despite recognizing a need for it. Existing county mental health services frequently operate with waitlists of eight weeks or longer, pushing residents toward emergency departments or toward no care at all.</w:t>
      </w:r>
    </w:p>
    <w:p w14:paraId="5FA1F4C6" w14:textId="77777777" w:rsidR="00A440CF" w:rsidRDefault="00000000">
      <w:pPr>
        <w:spacing w:before="200" w:after="100"/>
      </w:pPr>
      <w:r>
        <w:rPr>
          <w:rFonts w:ascii="Montserrat" w:eastAsia="Montserrat" w:hAnsi="Montserrat" w:cs="Montserrat"/>
          <w:b/>
          <w:bCs/>
          <w:color w:val="1B2A41"/>
          <w:sz w:val="21"/>
          <w:szCs w:val="21"/>
        </w:rPr>
        <w:t>3.2 Stigma and Cultural Barriers</w:t>
      </w:r>
    </w:p>
    <w:p w14:paraId="63384125" w14:textId="77777777" w:rsidR="00A440CF" w:rsidRDefault="00000000">
      <w:pPr>
        <w:spacing w:after="160" w:line="276" w:lineRule="auto"/>
        <w:jc w:val="both"/>
      </w:pPr>
      <w:r>
        <w:t>Community input gathered informally through CWI's liaison network indicates that many residents associate seeking mental health support with personal weakness or fear that disclosure could affect employment or family relationships. This is particularly pronounced among older adults and within several of the county's immigrant communities, where mental health remains a sensitive and under-discussed topic.</w:t>
      </w:r>
    </w:p>
    <w:p w14:paraId="002813E5" w14:textId="77777777" w:rsidR="00A440CF" w:rsidRDefault="00000000">
      <w:pPr>
        <w:spacing w:before="200" w:after="100"/>
      </w:pPr>
      <w:r>
        <w:rPr>
          <w:rFonts w:ascii="Montserrat" w:eastAsia="Montserrat" w:hAnsi="Montserrat" w:cs="Montserrat"/>
          <w:b/>
          <w:bCs/>
          <w:color w:val="1B2A41"/>
          <w:sz w:val="21"/>
          <w:szCs w:val="21"/>
        </w:rPr>
        <w:t>3.3 Fragmentation and Navigation Barriers</w:t>
      </w:r>
    </w:p>
    <w:p w14:paraId="1C8FD770" w14:textId="77777777" w:rsidR="00A440CF" w:rsidRDefault="00000000">
      <w:pPr>
        <w:spacing w:after="160" w:line="276" w:lineRule="auto"/>
        <w:jc w:val="both"/>
      </w:pPr>
      <w:r>
        <w:t>Even residents who are willing and financially able to seek care often struggle to identify which of the county's overlapping public, nonprofit, and private providers can serve their specific needs. There is currently no single point of entry or navigation resource connecting Ashford County residents to appropriate mental health services based on insurance status, language, or clinical need.</w:t>
      </w:r>
    </w:p>
    <w:p w14:paraId="5548B3B6" w14:textId="77777777" w:rsidR="00A440CF" w:rsidRDefault="00000000">
      <w:pPr>
        <w:spacing w:before="200" w:after="100"/>
      </w:pPr>
      <w:r>
        <w:rPr>
          <w:rFonts w:ascii="Montserrat" w:eastAsia="Montserrat" w:hAnsi="Montserrat" w:cs="Montserrat"/>
          <w:b/>
          <w:bCs/>
          <w:color w:val="1B2A41"/>
          <w:sz w:val="21"/>
          <w:szCs w:val="21"/>
        </w:rPr>
        <w:t>3.4 Consequences of Unmet Need</w:t>
      </w:r>
    </w:p>
    <w:p w14:paraId="6123350B" w14:textId="77777777" w:rsidR="00A440CF" w:rsidRDefault="00000000">
      <w:pPr>
        <w:spacing w:after="160" w:line="276" w:lineRule="auto"/>
        <w:jc w:val="both"/>
      </w:pPr>
      <w:r>
        <w:t>Left unaddressed, these barriers contribute to worsening mental health outcomes, increased reliance on costly emergency and crisis services, and strain on family and community systems. Adults with untreated mental health conditions are also more likely to experience co-occurring physical health complications and reduced workforce participation, compounding the economic impact on individuals and the broader community.</w:t>
      </w:r>
    </w:p>
    <w:p w14:paraId="1EB6BE5D" w14:textId="77777777" w:rsidR="00A440CF" w:rsidRDefault="00000000">
      <w:pPr>
        <w:spacing w:after="160" w:line="276" w:lineRule="auto"/>
        <w:jc w:val="both"/>
      </w:pPr>
      <w:r>
        <w:t>The Community Mental Health Access Initiative is designed to directly address these three barriers through a coordinated, community-based model that reduces cost, normalizes help-seeking, and simplifies navigation.</w:t>
      </w:r>
    </w:p>
    <w:p w14:paraId="63B1C7AE" w14:textId="77777777" w:rsidR="00A440CF" w:rsidRDefault="00000000">
      <w:pPr>
        <w:pStyle w:val="Heading1"/>
        <w:pBdr>
          <w:bottom w:val="single" w:sz="8" w:space="4" w:color="B98F45"/>
        </w:pBdr>
        <w:spacing w:before="400" w:after="200"/>
      </w:pPr>
      <w:r>
        <w:t>4. Project Description</w:t>
      </w:r>
    </w:p>
    <w:p w14:paraId="36464C82" w14:textId="77777777" w:rsidR="00A440CF" w:rsidRDefault="00000000">
      <w:pPr>
        <w:spacing w:after="160" w:line="276" w:lineRule="auto"/>
        <w:jc w:val="both"/>
      </w:pPr>
      <w:r>
        <w:lastRenderedPageBreak/>
        <w:t>The Community Mental Health Access Initiative (CMHAI) is a 12-month program that will combine four interconnected components: peer support groups, subsidized short-term counseling, community health worker outreach, and a centralized referral and navigation system. Together, these components form a continuum of support that meets residents where they are, whether they need low-barrier peer connection or direct clinical care.</w:t>
      </w:r>
    </w:p>
    <w:p w14:paraId="41F1D917" w14:textId="77777777" w:rsidR="00A440CF" w:rsidRDefault="00000000">
      <w:pPr>
        <w:spacing w:before="200" w:after="100"/>
      </w:pPr>
      <w:r>
        <w:rPr>
          <w:rFonts w:ascii="Montserrat" w:eastAsia="Montserrat" w:hAnsi="Montserrat" w:cs="Montserrat"/>
          <w:b/>
          <w:bCs/>
          <w:color w:val="1B2A41"/>
          <w:sz w:val="21"/>
          <w:szCs w:val="21"/>
        </w:rPr>
        <w:t>4.1 Program Model</w:t>
      </w:r>
    </w:p>
    <w:p w14:paraId="7622143B" w14:textId="77777777" w:rsidR="00A440CF" w:rsidRDefault="00000000">
      <w:pPr>
        <w:spacing w:after="160" w:line="276" w:lineRule="auto"/>
        <w:jc w:val="both"/>
      </w:pPr>
      <w:r>
        <w:t>CMHAI is structured around a stepped-care approach. Residents enter the program through outreach or self-referral, are connected with a trained community health worker who conducts a brief needs assessment, and are then matched with the appropriate level of support — ranging from a peer support group to subsidized individual counseling sessions with a licensed or associate-licensed clinician. Residents with needs beyond CMHAI's scope are referred to CWI's partner health centers or other appropriate providers through the centralized navigation system.</w:t>
      </w:r>
    </w:p>
    <w:p w14:paraId="146F0336" w14:textId="77777777" w:rsidR="00A440CF" w:rsidRDefault="00000000">
      <w:pPr>
        <w:spacing w:before="200" w:after="100"/>
      </w:pPr>
      <w:r>
        <w:rPr>
          <w:rFonts w:ascii="Montserrat" w:eastAsia="Montserrat" w:hAnsi="Montserrat" w:cs="Montserrat"/>
          <w:b/>
          <w:bCs/>
          <w:color w:val="1B2A41"/>
          <w:sz w:val="21"/>
          <w:szCs w:val="21"/>
        </w:rPr>
        <w:t>4.2 Program Components</w:t>
      </w:r>
    </w:p>
    <w:p w14:paraId="01DAF820" w14:textId="77777777" w:rsidR="00A440CF" w:rsidRDefault="00000000">
      <w:pPr>
        <w:pStyle w:val="ListParagraph"/>
        <w:numPr>
          <w:ilvl w:val="0"/>
          <w:numId w:val="2"/>
        </w:numPr>
        <w:spacing w:after="90"/>
      </w:pPr>
      <w:r>
        <w:t>Peer Support Groups: Six recurring, facilitated peer support groups held across four Ashford County neighborhoods, open to all adult residents.</w:t>
      </w:r>
    </w:p>
    <w:p w14:paraId="486D9E5E" w14:textId="77777777" w:rsidR="00A440CF" w:rsidRDefault="00000000">
      <w:pPr>
        <w:pStyle w:val="ListParagraph"/>
        <w:numPr>
          <w:ilvl w:val="0"/>
          <w:numId w:val="2"/>
        </w:numPr>
        <w:spacing w:after="90"/>
      </w:pPr>
      <w:r>
        <w:t>Subsidized Counseling: Short-term individual counseling (up to eight sessions per participant) delivered through a partnership with licensed clinicians at reduced or no cost to participants.</w:t>
      </w:r>
    </w:p>
    <w:p w14:paraId="30616593" w14:textId="77777777" w:rsidR="00A440CF" w:rsidRDefault="00000000">
      <w:pPr>
        <w:pStyle w:val="ListParagraph"/>
        <w:numPr>
          <w:ilvl w:val="0"/>
          <w:numId w:val="2"/>
        </w:numPr>
        <w:spacing w:after="90"/>
      </w:pPr>
      <w:r>
        <w:t>Community Health Worker Outreach: Two trained community health workers conducting direct outreach, intake, and needs assessment across target neighborhoods.</w:t>
      </w:r>
    </w:p>
    <w:p w14:paraId="238298B0" w14:textId="77777777" w:rsidR="00A440CF" w:rsidRDefault="00000000">
      <w:pPr>
        <w:pStyle w:val="ListParagraph"/>
        <w:numPr>
          <w:ilvl w:val="0"/>
          <w:numId w:val="2"/>
        </w:numPr>
        <w:spacing w:after="90"/>
      </w:pPr>
      <w:r>
        <w:t>Centralized Referral System: A shared intake and referral tracking process connecting CMHAI to CWI's existing federally qualified health center partners and other county providers.</w:t>
      </w:r>
    </w:p>
    <w:p w14:paraId="64285B12" w14:textId="77777777" w:rsidR="00A440CF" w:rsidRDefault="00000000">
      <w:pPr>
        <w:spacing w:after="160" w:line="276" w:lineRule="auto"/>
        <w:jc w:val="both"/>
      </w:pPr>
      <w:r>
        <w:t>This proposal requests $75,000 to fund the first year of CMHAI, covering staffing, clinical partnership costs, materials, and program evaluation.</w:t>
      </w:r>
    </w:p>
    <w:p w14:paraId="7B3AB826" w14:textId="77777777" w:rsidR="00A440CF" w:rsidRDefault="00000000">
      <w:pPr>
        <w:pStyle w:val="Heading1"/>
        <w:pBdr>
          <w:bottom w:val="single" w:sz="8" w:space="4" w:color="B98F45"/>
        </w:pBdr>
        <w:spacing w:before="400" w:after="200"/>
      </w:pPr>
      <w:r>
        <w:t>5. Goals</w:t>
      </w:r>
    </w:p>
    <w:p w14:paraId="16B77840" w14:textId="77777777" w:rsidR="00A440CF" w:rsidRDefault="00000000">
      <w:pPr>
        <w:spacing w:after="160" w:line="276" w:lineRule="auto"/>
        <w:jc w:val="both"/>
      </w:pPr>
      <w:r>
        <w:t>The Community Mental Health Access Initiative is guided by three overarching goals:</w:t>
      </w:r>
    </w:p>
    <w:p w14:paraId="178CFF34" w14:textId="77777777" w:rsidR="00A440CF" w:rsidRDefault="00000000">
      <w:pPr>
        <w:pStyle w:val="ListParagraph"/>
        <w:numPr>
          <w:ilvl w:val="0"/>
          <w:numId w:val="2"/>
        </w:numPr>
        <w:spacing w:after="90"/>
      </w:pPr>
      <w:r>
        <w:t>Goal 1: Increase access to affordable, community-based mental health support for underserved adults in Ashford County.</w:t>
      </w:r>
    </w:p>
    <w:p w14:paraId="17271A1A" w14:textId="77777777" w:rsidR="00A440CF" w:rsidRDefault="00000000">
      <w:pPr>
        <w:pStyle w:val="ListParagraph"/>
        <w:numPr>
          <w:ilvl w:val="0"/>
          <w:numId w:val="2"/>
        </w:numPr>
        <w:spacing w:after="90"/>
      </w:pPr>
      <w:r>
        <w:t>Goal 2: Reduce stigma and improve community awareness of available mental health resources.</w:t>
      </w:r>
    </w:p>
    <w:p w14:paraId="5221115D" w14:textId="77777777" w:rsidR="00A440CF" w:rsidRDefault="00000000">
      <w:pPr>
        <w:pStyle w:val="ListParagraph"/>
        <w:numPr>
          <w:ilvl w:val="0"/>
          <w:numId w:val="2"/>
        </w:numPr>
        <w:spacing w:after="90"/>
      </w:pPr>
      <w:r>
        <w:t>Goal 3: Establish a coordinated referral and navigation system that connects residents to the appropriate level of mental health care.</w:t>
      </w:r>
    </w:p>
    <w:p w14:paraId="59A40648" w14:textId="77777777" w:rsidR="00A440CF" w:rsidRDefault="00000000">
      <w:pPr>
        <w:pStyle w:val="Heading1"/>
        <w:pBdr>
          <w:bottom w:val="single" w:sz="8" w:space="4" w:color="B98F45"/>
        </w:pBdr>
        <w:spacing w:before="400" w:after="200"/>
      </w:pPr>
      <w:r>
        <w:t>6. SMART Objectives</w:t>
      </w:r>
    </w:p>
    <w:p w14:paraId="0491EEC6" w14:textId="77777777" w:rsidR="00A440CF" w:rsidRDefault="00000000">
      <w:pPr>
        <w:spacing w:after="160" w:line="276" w:lineRule="auto"/>
        <w:jc w:val="both"/>
      </w:pPr>
      <w:r>
        <w:t>The following Specific, Measurable, Achievable, Relevant, and Time-bound (SMART) objectives translate CMHAI's goals into concrete, trackable targets for the 12-month grant period.</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4650"/>
        <w:gridCol w:w="2000"/>
      </w:tblGrid>
      <w:tr w:rsidR="00A440CF" w14:paraId="1F844673" w14:textId="77777777">
        <w:tblPrEx>
          <w:tblCellMar>
            <w:top w:w="0" w:type="dxa"/>
            <w:bottom w:w="0" w:type="dxa"/>
          </w:tblCellMar>
        </w:tblPrEx>
        <w:trPr>
          <w:tblHeader/>
        </w:trPr>
        <w:tc>
          <w:tcPr>
            <w:tcW w:w="2700" w:type="dxa"/>
            <w:shd w:val="clear" w:color="auto" w:fill="1B2A41"/>
            <w:tcMar>
              <w:top w:w="80" w:type="dxa"/>
              <w:left w:w="100" w:type="dxa"/>
              <w:bottom w:w="80" w:type="dxa"/>
              <w:right w:w="100" w:type="dxa"/>
            </w:tcMar>
            <w:vAlign w:val="center"/>
          </w:tcPr>
          <w:p w14:paraId="6D81C3A5" w14:textId="77777777" w:rsidR="00A440CF" w:rsidRDefault="00000000">
            <w:r>
              <w:rPr>
                <w:b/>
                <w:bCs/>
                <w:color w:val="FFFFFF"/>
                <w:sz w:val="20"/>
                <w:szCs w:val="20"/>
              </w:rPr>
              <w:t>Objective</w:t>
            </w:r>
          </w:p>
        </w:tc>
        <w:tc>
          <w:tcPr>
            <w:tcW w:w="4650" w:type="dxa"/>
            <w:shd w:val="clear" w:color="auto" w:fill="1B2A41"/>
            <w:tcMar>
              <w:top w:w="80" w:type="dxa"/>
              <w:left w:w="100" w:type="dxa"/>
              <w:bottom w:w="80" w:type="dxa"/>
              <w:right w:w="100" w:type="dxa"/>
            </w:tcMar>
            <w:vAlign w:val="center"/>
          </w:tcPr>
          <w:p w14:paraId="263B871B" w14:textId="77777777" w:rsidR="00A440CF" w:rsidRDefault="00000000">
            <w:r>
              <w:rPr>
                <w:b/>
                <w:bCs/>
                <w:color w:val="FFFFFF"/>
                <w:sz w:val="20"/>
                <w:szCs w:val="20"/>
              </w:rPr>
              <w:t>SMART Description</w:t>
            </w:r>
          </w:p>
        </w:tc>
        <w:tc>
          <w:tcPr>
            <w:tcW w:w="2000" w:type="dxa"/>
            <w:shd w:val="clear" w:color="auto" w:fill="1B2A41"/>
            <w:tcMar>
              <w:top w:w="80" w:type="dxa"/>
              <w:left w:w="100" w:type="dxa"/>
              <w:bottom w:w="80" w:type="dxa"/>
              <w:right w:w="100" w:type="dxa"/>
            </w:tcMar>
            <w:vAlign w:val="center"/>
          </w:tcPr>
          <w:p w14:paraId="54BADB84" w14:textId="77777777" w:rsidR="00A440CF" w:rsidRDefault="00000000">
            <w:pPr>
              <w:jc w:val="center"/>
            </w:pPr>
            <w:r>
              <w:rPr>
                <w:b/>
                <w:bCs/>
                <w:color w:val="FFFFFF"/>
                <w:sz w:val="20"/>
                <w:szCs w:val="20"/>
              </w:rPr>
              <w:t>Target</w:t>
            </w:r>
          </w:p>
        </w:tc>
      </w:tr>
      <w:tr w:rsidR="00A440CF" w14:paraId="0D54F312" w14:textId="77777777">
        <w:tblPrEx>
          <w:tblCellMar>
            <w:top w:w="0" w:type="dxa"/>
            <w:bottom w:w="0" w:type="dxa"/>
          </w:tblCellMar>
        </w:tblPrEx>
        <w:tc>
          <w:tcPr>
            <w:tcW w:w="2700" w:type="dxa"/>
            <w:shd w:val="clear" w:color="auto" w:fill="F3F2EF"/>
            <w:tcMar>
              <w:top w:w="80" w:type="dxa"/>
              <w:left w:w="100" w:type="dxa"/>
              <w:bottom w:w="80" w:type="dxa"/>
              <w:right w:w="100" w:type="dxa"/>
            </w:tcMar>
            <w:vAlign w:val="center"/>
          </w:tcPr>
          <w:p w14:paraId="308F680B" w14:textId="77777777" w:rsidR="00A440CF" w:rsidRDefault="00000000">
            <w:r>
              <w:rPr>
                <w:b/>
                <w:bCs/>
                <w:sz w:val="20"/>
                <w:szCs w:val="20"/>
              </w:rPr>
              <w:t>Objective 1</w:t>
            </w:r>
          </w:p>
        </w:tc>
        <w:tc>
          <w:tcPr>
            <w:tcW w:w="4650" w:type="dxa"/>
            <w:tcMar>
              <w:top w:w="80" w:type="dxa"/>
              <w:left w:w="100" w:type="dxa"/>
              <w:bottom w:w="80" w:type="dxa"/>
              <w:right w:w="100" w:type="dxa"/>
            </w:tcMar>
            <w:vAlign w:val="center"/>
          </w:tcPr>
          <w:p w14:paraId="089745AA" w14:textId="77777777" w:rsidR="00A440CF" w:rsidRDefault="00000000">
            <w:r>
              <w:rPr>
                <w:sz w:val="20"/>
                <w:szCs w:val="20"/>
              </w:rPr>
              <w:t>By month 12, at least 250 unique adults will be enrolled in one or more CMHAI service components.</w:t>
            </w:r>
          </w:p>
        </w:tc>
        <w:tc>
          <w:tcPr>
            <w:tcW w:w="2000" w:type="dxa"/>
            <w:tcMar>
              <w:top w:w="80" w:type="dxa"/>
              <w:left w:w="100" w:type="dxa"/>
              <w:bottom w:w="80" w:type="dxa"/>
              <w:right w:w="100" w:type="dxa"/>
            </w:tcMar>
            <w:vAlign w:val="center"/>
          </w:tcPr>
          <w:p w14:paraId="2E58522A" w14:textId="77777777" w:rsidR="00A440CF" w:rsidRDefault="00000000">
            <w:pPr>
              <w:jc w:val="center"/>
            </w:pPr>
            <w:r>
              <w:rPr>
                <w:sz w:val="20"/>
                <w:szCs w:val="20"/>
              </w:rPr>
              <w:t>250 adults</w:t>
            </w:r>
          </w:p>
        </w:tc>
      </w:tr>
      <w:tr w:rsidR="00A440CF" w14:paraId="55CB27AA" w14:textId="77777777">
        <w:tblPrEx>
          <w:tblCellMar>
            <w:top w:w="0" w:type="dxa"/>
            <w:bottom w:w="0" w:type="dxa"/>
          </w:tblCellMar>
        </w:tblPrEx>
        <w:tc>
          <w:tcPr>
            <w:tcW w:w="2700" w:type="dxa"/>
            <w:tcMar>
              <w:top w:w="80" w:type="dxa"/>
              <w:left w:w="100" w:type="dxa"/>
              <w:bottom w:w="80" w:type="dxa"/>
              <w:right w:w="100" w:type="dxa"/>
            </w:tcMar>
            <w:vAlign w:val="center"/>
          </w:tcPr>
          <w:p w14:paraId="0EFDBCE7" w14:textId="77777777" w:rsidR="00A440CF" w:rsidRDefault="00000000">
            <w:r>
              <w:rPr>
                <w:b/>
                <w:bCs/>
                <w:sz w:val="20"/>
                <w:szCs w:val="20"/>
              </w:rPr>
              <w:lastRenderedPageBreak/>
              <w:t>Objective 2</w:t>
            </w:r>
          </w:p>
        </w:tc>
        <w:tc>
          <w:tcPr>
            <w:tcW w:w="4650" w:type="dxa"/>
            <w:tcMar>
              <w:top w:w="80" w:type="dxa"/>
              <w:left w:w="100" w:type="dxa"/>
              <w:bottom w:w="80" w:type="dxa"/>
              <w:right w:w="100" w:type="dxa"/>
            </w:tcMar>
            <w:vAlign w:val="center"/>
          </w:tcPr>
          <w:p w14:paraId="3744A8B5" w14:textId="77777777" w:rsidR="00A440CF" w:rsidRDefault="00000000">
            <w:r>
              <w:rPr>
                <w:sz w:val="20"/>
                <w:szCs w:val="20"/>
              </w:rPr>
              <w:t>By month 12, at least 70% of participants completing subsidized counseling will report improved self-assessed wellbeing on a standardized post-participation survey.</w:t>
            </w:r>
          </w:p>
        </w:tc>
        <w:tc>
          <w:tcPr>
            <w:tcW w:w="2000" w:type="dxa"/>
            <w:tcMar>
              <w:top w:w="80" w:type="dxa"/>
              <w:left w:w="100" w:type="dxa"/>
              <w:bottom w:w="80" w:type="dxa"/>
              <w:right w:w="100" w:type="dxa"/>
            </w:tcMar>
            <w:vAlign w:val="center"/>
          </w:tcPr>
          <w:p w14:paraId="600909D5" w14:textId="77777777" w:rsidR="00A440CF" w:rsidRDefault="00000000">
            <w:pPr>
              <w:jc w:val="center"/>
            </w:pPr>
            <w:r>
              <w:rPr>
                <w:sz w:val="20"/>
                <w:szCs w:val="20"/>
              </w:rPr>
              <w:t>70% improvement</w:t>
            </w:r>
          </w:p>
        </w:tc>
      </w:tr>
      <w:tr w:rsidR="00A440CF" w14:paraId="2C248E2D" w14:textId="77777777">
        <w:tblPrEx>
          <w:tblCellMar>
            <w:top w:w="0" w:type="dxa"/>
            <w:bottom w:w="0" w:type="dxa"/>
          </w:tblCellMar>
        </w:tblPrEx>
        <w:tc>
          <w:tcPr>
            <w:tcW w:w="2700" w:type="dxa"/>
            <w:shd w:val="clear" w:color="auto" w:fill="F3F2EF"/>
            <w:tcMar>
              <w:top w:w="80" w:type="dxa"/>
              <w:left w:w="100" w:type="dxa"/>
              <w:bottom w:w="80" w:type="dxa"/>
              <w:right w:w="100" w:type="dxa"/>
            </w:tcMar>
            <w:vAlign w:val="center"/>
          </w:tcPr>
          <w:p w14:paraId="6DBD8530" w14:textId="77777777" w:rsidR="00A440CF" w:rsidRDefault="00000000">
            <w:r>
              <w:rPr>
                <w:b/>
                <w:bCs/>
                <w:sz w:val="20"/>
                <w:szCs w:val="20"/>
              </w:rPr>
              <w:t>Objective 3</w:t>
            </w:r>
          </w:p>
        </w:tc>
        <w:tc>
          <w:tcPr>
            <w:tcW w:w="4650" w:type="dxa"/>
            <w:tcMar>
              <w:top w:w="80" w:type="dxa"/>
              <w:left w:w="100" w:type="dxa"/>
              <w:bottom w:w="80" w:type="dxa"/>
              <w:right w:w="100" w:type="dxa"/>
            </w:tcMar>
            <w:vAlign w:val="center"/>
          </w:tcPr>
          <w:p w14:paraId="1AAB79E0" w14:textId="77777777" w:rsidR="00A440CF" w:rsidRDefault="00000000">
            <w:r>
              <w:rPr>
                <w:sz w:val="20"/>
                <w:szCs w:val="20"/>
              </w:rPr>
              <w:t>By month 6, CMHAI will establish active referral pathways with at least 3 additional community providers beyond CWI's existing partners.</w:t>
            </w:r>
          </w:p>
        </w:tc>
        <w:tc>
          <w:tcPr>
            <w:tcW w:w="2000" w:type="dxa"/>
            <w:tcMar>
              <w:top w:w="80" w:type="dxa"/>
              <w:left w:w="100" w:type="dxa"/>
              <w:bottom w:w="80" w:type="dxa"/>
              <w:right w:w="100" w:type="dxa"/>
            </w:tcMar>
            <w:vAlign w:val="center"/>
          </w:tcPr>
          <w:p w14:paraId="3F6F4E88" w14:textId="77777777" w:rsidR="00A440CF" w:rsidRDefault="00000000">
            <w:pPr>
              <w:jc w:val="center"/>
            </w:pPr>
            <w:r>
              <w:rPr>
                <w:sz w:val="20"/>
                <w:szCs w:val="20"/>
              </w:rPr>
              <w:t>3 new pathways</w:t>
            </w:r>
          </w:p>
        </w:tc>
      </w:tr>
      <w:tr w:rsidR="00A440CF" w14:paraId="003CBE15" w14:textId="77777777">
        <w:tblPrEx>
          <w:tblCellMar>
            <w:top w:w="0" w:type="dxa"/>
            <w:bottom w:w="0" w:type="dxa"/>
          </w:tblCellMar>
        </w:tblPrEx>
        <w:tc>
          <w:tcPr>
            <w:tcW w:w="2700" w:type="dxa"/>
            <w:tcMar>
              <w:top w:w="80" w:type="dxa"/>
              <w:left w:w="100" w:type="dxa"/>
              <w:bottom w:w="80" w:type="dxa"/>
              <w:right w:w="100" w:type="dxa"/>
            </w:tcMar>
            <w:vAlign w:val="center"/>
          </w:tcPr>
          <w:p w14:paraId="116F14DD" w14:textId="77777777" w:rsidR="00A440CF" w:rsidRDefault="00000000">
            <w:r>
              <w:rPr>
                <w:b/>
                <w:bCs/>
                <w:sz w:val="20"/>
                <w:szCs w:val="20"/>
              </w:rPr>
              <w:t>Objective 4</w:t>
            </w:r>
          </w:p>
        </w:tc>
        <w:tc>
          <w:tcPr>
            <w:tcW w:w="4650" w:type="dxa"/>
            <w:tcMar>
              <w:top w:w="80" w:type="dxa"/>
              <w:left w:w="100" w:type="dxa"/>
              <w:bottom w:w="80" w:type="dxa"/>
              <w:right w:w="100" w:type="dxa"/>
            </w:tcMar>
            <w:vAlign w:val="center"/>
          </w:tcPr>
          <w:p w14:paraId="6D8024D2" w14:textId="77777777" w:rsidR="00A440CF" w:rsidRDefault="00000000">
            <w:r>
              <w:rPr>
                <w:sz w:val="20"/>
                <w:szCs w:val="20"/>
              </w:rPr>
              <w:t>By month 12, at least 80% of enrolled participants will report reduced difficulty navigating mental health services on an intake-to-exit comparison survey.</w:t>
            </w:r>
          </w:p>
        </w:tc>
        <w:tc>
          <w:tcPr>
            <w:tcW w:w="2000" w:type="dxa"/>
            <w:tcMar>
              <w:top w:w="80" w:type="dxa"/>
              <w:left w:w="100" w:type="dxa"/>
              <w:bottom w:w="80" w:type="dxa"/>
              <w:right w:w="100" w:type="dxa"/>
            </w:tcMar>
            <w:vAlign w:val="center"/>
          </w:tcPr>
          <w:p w14:paraId="68117184" w14:textId="77777777" w:rsidR="00A440CF" w:rsidRDefault="00000000">
            <w:pPr>
              <w:jc w:val="center"/>
            </w:pPr>
            <w:r>
              <w:rPr>
                <w:sz w:val="20"/>
                <w:szCs w:val="20"/>
              </w:rPr>
              <w:t>80% of participants</w:t>
            </w:r>
          </w:p>
        </w:tc>
      </w:tr>
    </w:tbl>
    <w:p w14:paraId="3554D909" w14:textId="77777777" w:rsidR="00A440CF" w:rsidRDefault="00A440CF">
      <w:pPr>
        <w:spacing w:before="200"/>
      </w:pPr>
    </w:p>
    <w:p w14:paraId="13170AF6" w14:textId="77777777" w:rsidR="00A440CF" w:rsidRDefault="00000000">
      <w:pPr>
        <w:pStyle w:val="Heading1"/>
        <w:pBdr>
          <w:bottom w:val="single" w:sz="8" w:space="4" w:color="B98F45"/>
        </w:pBdr>
        <w:spacing w:before="400" w:after="200"/>
      </w:pPr>
      <w:r>
        <w:t>7. Activities</w:t>
      </w:r>
    </w:p>
    <w:p w14:paraId="760C3550" w14:textId="77777777" w:rsidR="00A440CF" w:rsidRDefault="00000000">
      <w:pPr>
        <w:spacing w:after="160" w:line="276" w:lineRule="auto"/>
        <w:jc w:val="both"/>
      </w:pPr>
      <w:r>
        <w:t>CMHAI's activities are organized on a 12-month implementation timeline, structured to allow for a deliberate startup phase, a full service-delivery period, and a final period for evaluation and reporting.</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4450"/>
        <w:gridCol w:w="2500"/>
      </w:tblGrid>
      <w:tr w:rsidR="00A440CF" w14:paraId="38C0E61C" w14:textId="77777777">
        <w:tblPrEx>
          <w:tblCellMar>
            <w:top w:w="0" w:type="dxa"/>
            <w:bottom w:w="0" w:type="dxa"/>
          </w:tblCellMar>
        </w:tblPrEx>
        <w:trPr>
          <w:tblHeader/>
        </w:trPr>
        <w:tc>
          <w:tcPr>
            <w:tcW w:w="2400" w:type="dxa"/>
            <w:shd w:val="clear" w:color="auto" w:fill="2F4A3D"/>
            <w:tcMar>
              <w:top w:w="80" w:type="dxa"/>
              <w:left w:w="100" w:type="dxa"/>
              <w:bottom w:w="80" w:type="dxa"/>
              <w:right w:w="100" w:type="dxa"/>
            </w:tcMar>
            <w:vAlign w:val="center"/>
          </w:tcPr>
          <w:p w14:paraId="4D6635DF" w14:textId="77777777" w:rsidR="00A440CF" w:rsidRDefault="00000000">
            <w:r>
              <w:rPr>
                <w:b/>
                <w:bCs/>
                <w:color w:val="FFFFFF"/>
                <w:sz w:val="20"/>
                <w:szCs w:val="20"/>
              </w:rPr>
              <w:t>Activity</w:t>
            </w:r>
          </w:p>
        </w:tc>
        <w:tc>
          <w:tcPr>
            <w:tcW w:w="4450" w:type="dxa"/>
            <w:shd w:val="clear" w:color="auto" w:fill="2F4A3D"/>
            <w:tcMar>
              <w:top w:w="80" w:type="dxa"/>
              <w:left w:w="100" w:type="dxa"/>
              <w:bottom w:w="80" w:type="dxa"/>
              <w:right w:w="100" w:type="dxa"/>
            </w:tcMar>
            <w:vAlign w:val="center"/>
          </w:tcPr>
          <w:p w14:paraId="652D96EF" w14:textId="77777777" w:rsidR="00A440CF" w:rsidRDefault="00000000">
            <w:r>
              <w:rPr>
                <w:b/>
                <w:bCs/>
                <w:color w:val="FFFFFF"/>
                <w:sz w:val="20"/>
                <w:szCs w:val="20"/>
              </w:rPr>
              <w:t>Description</w:t>
            </w:r>
          </w:p>
        </w:tc>
        <w:tc>
          <w:tcPr>
            <w:tcW w:w="2500" w:type="dxa"/>
            <w:shd w:val="clear" w:color="auto" w:fill="2F4A3D"/>
            <w:tcMar>
              <w:top w:w="80" w:type="dxa"/>
              <w:left w:w="100" w:type="dxa"/>
              <w:bottom w:w="80" w:type="dxa"/>
              <w:right w:w="100" w:type="dxa"/>
            </w:tcMar>
            <w:vAlign w:val="center"/>
          </w:tcPr>
          <w:p w14:paraId="21043062" w14:textId="77777777" w:rsidR="00A440CF" w:rsidRDefault="00000000">
            <w:pPr>
              <w:jc w:val="center"/>
            </w:pPr>
            <w:r>
              <w:rPr>
                <w:b/>
                <w:bCs/>
                <w:color w:val="FFFFFF"/>
                <w:sz w:val="20"/>
                <w:szCs w:val="20"/>
              </w:rPr>
              <w:t>Timeline</w:t>
            </w:r>
          </w:p>
        </w:tc>
      </w:tr>
      <w:tr w:rsidR="00A440CF" w14:paraId="6AC35DC0" w14:textId="77777777">
        <w:tblPrEx>
          <w:tblCellMar>
            <w:top w:w="0" w:type="dxa"/>
            <w:bottom w:w="0" w:type="dxa"/>
          </w:tblCellMar>
        </w:tblPrEx>
        <w:tc>
          <w:tcPr>
            <w:tcW w:w="2400" w:type="dxa"/>
            <w:shd w:val="clear" w:color="auto" w:fill="F3F2EF"/>
            <w:tcMar>
              <w:top w:w="80" w:type="dxa"/>
              <w:left w:w="100" w:type="dxa"/>
              <w:bottom w:w="80" w:type="dxa"/>
              <w:right w:w="100" w:type="dxa"/>
            </w:tcMar>
            <w:vAlign w:val="center"/>
          </w:tcPr>
          <w:p w14:paraId="5B489716" w14:textId="77777777" w:rsidR="00A440CF" w:rsidRDefault="00000000">
            <w:r>
              <w:rPr>
                <w:b/>
                <w:bCs/>
                <w:sz w:val="20"/>
                <w:szCs w:val="20"/>
              </w:rPr>
              <w:t>Staff hiring &amp; training</w:t>
            </w:r>
          </w:p>
        </w:tc>
        <w:tc>
          <w:tcPr>
            <w:tcW w:w="4450" w:type="dxa"/>
            <w:tcMar>
              <w:top w:w="80" w:type="dxa"/>
              <w:left w:w="100" w:type="dxa"/>
              <w:bottom w:w="80" w:type="dxa"/>
              <w:right w:w="100" w:type="dxa"/>
            </w:tcMar>
            <w:vAlign w:val="center"/>
          </w:tcPr>
          <w:p w14:paraId="0AD91BCF" w14:textId="77777777" w:rsidR="00A440CF" w:rsidRDefault="00000000">
            <w:r>
              <w:rPr>
                <w:sz w:val="20"/>
                <w:szCs w:val="20"/>
              </w:rPr>
              <w:t>Recruit and train two community health workers and onboard partner clinicians.</w:t>
            </w:r>
          </w:p>
        </w:tc>
        <w:tc>
          <w:tcPr>
            <w:tcW w:w="2500" w:type="dxa"/>
            <w:tcMar>
              <w:top w:w="80" w:type="dxa"/>
              <w:left w:w="100" w:type="dxa"/>
              <w:bottom w:w="80" w:type="dxa"/>
              <w:right w:w="100" w:type="dxa"/>
            </w:tcMar>
            <w:vAlign w:val="center"/>
          </w:tcPr>
          <w:p w14:paraId="460C8E7E" w14:textId="77777777" w:rsidR="00A440CF" w:rsidRDefault="00000000">
            <w:pPr>
              <w:jc w:val="center"/>
            </w:pPr>
            <w:r>
              <w:rPr>
                <w:sz w:val="20"/>
                <w:szCs w:val="20"/>
              </w:rPr>
              <w:t>Months 1–2</w:t>
            </w:r>
          </w:p>
        </w:tc>
      </w:tr>
      <w:tr w:rsidR="00A440CF" w14:paraId="4B8864A7" w14:textId="77777777">
        <w:tblPrEx>
          <w:tblCellMar>
            <w:top w:w="0" w:type="dxa"/>
            <w:bottom w:w="0" w:type="dxa"/>
          </w:tblCellMar>
        </w:tblPrEx>
        <w:tc>
          <w:tcPr>
            <w:tcW w:w="2400" w:type="dxa"/>
            <w:tcMar>
              <w:top w:w="80" w:type="dxa"/>
              <w:left w:w="100" w:type="dxa"/>
              <w:bottom w:w="80" w:type="dxa"/>
              <w:right w:w="100" w:type="dxa"/>
            </w:tcMar>
            <w:vAlign w:val="center"/>
          </w:tcPr>
          <w:p w14:paraId="63F070C1" w14:textId="77777777" w:rsidR="00A440CF" w:rsidRDefault="00000000">
            <w:r>
              <w:rPr>
                <w:b/>
                <w:bCs/>
                <w:sz w:val="20"/>
                <w:szCs w:val="20"/>
              </w:rPr>
              <w:t>Outreach launch</w:t>
            </w:r>
          </w:p>
        </w:tc>
        <w:tc>
          <w:tcPr>
            <w:tcW w:w="4450" w:type="dxa"/>
            <w:tcMar>
              <w:top w:w="80" w:type="dxa"/>
              <w:left w:w="100" w:type="dxa"/>
              <w:bottom w:w="80" w:type="dxa"/>
              <w:right w:w="100" w:type="dxa"/>
            </w:tcMar>
            <w:vAlign w:val="center"/>
          </w:tcPr>
          <w:p w14:paraId="1A228C6F" w14:textId="77777777" w:rsidR="00A440CF" w:rsidRDefault="00000000">
            <w:r>
              <w:rPr>
                <w:sz w:val="20"/>
                <w:szCs w:val="20"/>
              </w:rPr>
              <w:t>Conduct door-to-door and community-partner outreach across four target neighborhoods.</w:t>
            </w:r>
          </w:p>
        </w:tc>
        <w:tc>
          <w:tcPr>
            <w:tcW w:w="2500" w:type="dxa"/>
            <w:tcMar>
              <w:top w:w="80" w:type="dxa"/>
              <w:left w:w="100" w:type="dxa"/>
              <w:bottom w:w="80" w:type="dxa"/>
              <w:right w:w="100" w:type="dxa"/>
            </w:tcMar>
            <w:vAlign w:val="center"/>
          </w:tcPr>
          <w:p w14:paraId="3A723C84" w14:textId="77777777" w:rsidR="00A440CF" w:rsidRDefault="00000000">
            <w:pPr>
              <w:jc w:val="center"/>
            </w:pPr>
            <w:r>
              <w:rPr>
                <w:sz w:val="20"/>
                <w:szCs w:val="20"/>
              </w:rPr>
              <w:t>Months 2–3</w:t>
            </w:r>
          </w:p>
        </w:tc>
      </w:tr>
      <w:tr w:rsidR="00A440CF" w14:paraId="2D1BFB6A" w14:textId="77777777">
        <w:tblPrEx>
          <w:tblCellMar>
            <w:top w:w="0" w:type="dxa"/>
            <w:bottom w:w="0" w:type="dxa"/>
          </w:tblCellMar>
        </w:tblPrEx>
        <w:tc>
          <w:tcPr>
            <w:tcW w:w="2400" w:type="dxa"/>
            <w:shd w:val="clear" w:color="auto" w:fill="F3F2EF"/>
            <w:tcMar>
              <w:top w:w="80" w:type="dxa"/>
              <w:left w:w="100" w:type="dxa"/>
              <w:bottom w:w="80" w:type="dxa"/>
              <w:right w:w="100" w:type="dxa"/>
            </w:tcMar>
            <w:vAlign w:val="center"/>
          </w:tcPr>
          <w:p w14:paraId="4A8A2632" w14:textId="77777777" w:rsidR="00A440CF" w:rsidRDefault="00000000">
            <w:r>
              <w:rPr>
                <w:b/>
                <w:bCs/>
                <w:sz w:val="20"/>
                <w:szCs w:val="20"/>
              </w:rPr>
              <w:t>Peer support groups begin</w:t>
            </w:r>
          </w:p>
        </w:tc>
        <w:tc>
          <w:tcPr>
            <w:tcW w:w="4450" w:type="dxa"/>
            <w:tcMar>
              <w:top w:w="80" w:type="dxa"/>
              <w:left w:w="100" w:type="dxa"/>
              <w:bottom w:w="80" w:type="dxa"/>
              <w:right w:w="100" w:type="dxa"/>
            </w:tcMar>
            <w:vAlign w:val="center"/>
          </w:tcPr>
          <w:p w14:paraId="30E8299A" w14:textId="77777777" w:rsidR="00A440CF" w:rsidRDefault="00000000">
            <w:r>
              <w:rPr>
                <w:sz w:val="20"/>
                <w:szCs w:val="20"/>
              </w:rPr>
              <w:t>Launch six recurring peer support groups with trained facilitators.</w:t>
            </w:r>
          </w:p>
        </w:tc>
        <w:tc>
          <w:tcPr>
            <w:tcW w:w="2500" w:type="dxa"/>
            <w:tcMar>
              <w:top w:w="80" w:type="dxa"/>
              <w:left w:w="100" w:type="dxa"/>
              <w:bottom w:w="80" w:type="dxa"/>
              <w:right w:w="100" w:type="dxa"/>
            </w:tcMar>
            <w:vAlign w:val="center"/>
          </w:tcPr>
          <w:p w14:paraId="5590BFD4" w14:textId="77777777" w:rsidR="00A440CF" w:rsidRDefault="00000000">
            <w:pPr>
              <w:jc w:val="center"/>
            </w:pPr>
            <w:r>
              <w:rPr>
                <w:sz w:val="20"/>
                <w:szCs w:val="20"/>
              </w:rPr>
              <w:t>Month 3</w:t>
            </w:r>
          </w:p>
        </w:tc>
      </w:tr>
      <w:tr w:rsidR="00A440CF" w14:paraId="2FC895C2" w14:textId="77777777">
        <w:tblPrEx>
          <w:tblCellMar>
            <w:top w:w="0" w:type="dxa"/>
            <w:bottom w:w="0" w:type="dxa"/>
          </w:tblCellMar>
        </w:tblPrEx>
        <w:tc>
          <w:tcPr>
            <w:tcW w:w="2400" w:type="dxa"/>
            <w:tcMar>
              <w:top w:w="80" w:type="dxa"/>
              <w:left w:w="100" w:type="dxa"/>
              <w:bottom w:w="80" w:type="dxa"/>
              <w:right w:w="100" w:type="dxa"/>
            </w:tcMar>
            <w:vAlign w:val="center"/>
          </w:tcPr>
          <w:p w14:paraId="2588CB5B" w14:textId="77777777" w:rsidR="00A440CF" w:rsidRDefault="00000000">
            <w:r>
              <w:rPr>
                <w:b/>
                <w:bCs/>
                <w:sz w:val="20"/>
                <w:szCs w:val="20"/>
              </w:rPr>
              <w:t>Subsidized counseling begins</w:t>
            </w:r>
          </w:p>
        </w:tc>
        <w:tc>
          <w:tcPr>
            <w:tcW w:w="4450" w:type="dxa"/>
            <w:tcMar>
              <w:top w:w="80" w:type="dxa"/>
              <w:left w:w="100" w:type="dxa"/>
              <w:bottom w:w="80" w:type="dxa"/>
              <w:right w:w="100" w:type="dxa"/>
            </w:tcMar>
            <w:vAlign w:val="center"/>
          </w:tcPr>
          <w:p w14:paraId="0BEE1E3B" w14:textId="77777777" w:rsidR="00A440CF" w:rsidRDefault="00000000">
            <w:r>
              <w:rPr>
                <w:sz w:val="20"/>
                <w:szCs w:val="20"/>
              </w:rPr>
              <w:t>Begin intake and scheduling for subsidized short-term counseling sessions.</w:t>
            </w:r>
          </w:p>
        </w:tc>
        <w:tc>
          <w:tcPr>
            <w:tcW w:w="2500" w:type="dxa"/>
            <w:tcMar>
              <w:top w:w="80" w:type="dxa"/>
              <w:left w:w="100" w:type="dxa"/>
              <w:bottom w:w="80" w:type="dxa"/>
              <w:right w:w="100" w:type="dxa"/>
            </w:tcMar>
            <w:vAlign w:val="center"/>
          </w:tcPr>
          <w:p w14:paraId="490A6B70" w14:textId="77777777" w:rsidR="00A440CF" w:rsidRDefault="00000000">
            <w:pPr>
              <w:jc w:val="center"/>
            </w:pPr>
            <w:r>
              <w:rPr>
                <w:sz w:val="20"/>
                <w:szCs w:val="20"/>
              </w:rPr>
              <w:t>Month 3</w:t>
            </w:r>
          </w:p>
        </w:tc>
      </w:tr>
      <w:tr w:rsidR="00A440CF" w14:paraId="692684B0" w14:textId="77777777">
        <w:tblPrEx>
          <w:tblCellMar>
            <w:top w:w="0" w:type="dxa"/>
            <w:bottom w:w="0" w:type="dxa"/>
          </w:tblCellMar>
        </w:tblPrEx>
        <w:tc>
          <w:tcPr>
            <w:tcW w:w="2400" w:type="dxa"/>
            <w:shd w:val="clear" w:color="auto" w:fill="F3F2EF"/>
            <w:tcMar>
              <w:top w:w="80" w:type="dxa"/>
              <w:left w:w="100" w:type="dxa"/>
              <w:bottom w:w="80" w:type="dxa"/>
              <w:right w:w="100" w:type="dxa"/>
            </w:tcMar>
            <w:vAlign w:val="center"/>
          </w:tcPr>
          <w:p w14:paraId="3D2606CC" w14:textId="77777777" w:rsidR="00A440CF" w:rsidRDefault="00000000">
            <w:r>
              <w:rPr>
                <w:b/>
                <w:bCs/>
                <w:sz w:val="20"/>
                <w:szCs w:val="20"/>
              </w:rPr>
              <w:t>Referral network expansion</w:t>
            </w:r>
          </w:p>
        </w:tc>
        <w:tc>
          <w:tcPr>
            <w:tcW w:w="4450" w:type="dxa"/>
            <w:tcMar>
              <w:top w:w="80" w:type="dxa"/>
              <w:left w:w="100" w:type="dxa"/>
              <w:bottom w:w="80" w:type="dxa"/>
              <w:right w:w="100" w:type="dxa"/>
            </w:tcMar>
            <w:vAlign w:val="center"/>
          </w:tcPr>
          <w:p w14:paraId="76DF9959" w14:textId="77777777" w:rsidR="00A440CF" w:rsidRDefault="00000000">
            <w:r>
              <w:rPr>
                <w:sz w:val="20"/>
                <w:szCs w:val="20"/>
              </w:rPr>
              <w:t>Formalize referral agreements with at least three additional community providers.</w:t>
            </w:r>
          </w:p>
        </w:tc>
        <w:tc>
          <w:tcPr>
            <w:tcW w:w="2500" w:type="dxa"/>
            <w:tcMar>
              <w:top w:w="80" w:type="dxa"/>
              <w:left w:w="100" w:type="dxa"/>
              <w:bottom w:w="80" w:type="dxa"/>
              <w:right w:w="100" w:type="dxa"/>
            </w:tcMar>
            <w:vAlign w:val="center"/>
          </w:tcPr>
          <w:p w14:paraId="7B0AD1FB" w14:textId="77777777" w:rsidR="00A440CF" w:rsidRDefault="00000000">
            <w:pPr>
              <w:jc w:val="center"/>
            </w:pPr>
            <w:r>
              <w:rPr>
                <w:sz w:val="20"/>
                <w:szCs w:val="20"/>
              </w:rPr>
              <w:t>Months 3–6</w:t>
            </w:r>
          </w:p>
        </w:tc>
      </w:tr>
      <w:tr w:rsidR="00A440CF" w14:paraId="4BE57EAE" w14:textId="77777777">
        <w:tblPrEx>
          <w:tblCellMar>
            <w:top w:w="0" w:type="dxa"/>
            <w:bottom w:w="0" w:type="dxa"/>
          </w:tblCellMar>
        </w:tblPrEx>
        <w:tc>
          <w:tcPr>
            <w:tcW w:w="2400" w:type="dxa"/>
            <w:tcMar>
              <w:top w:w="80" w:type="dxa"/>
              <w:left w:w="100" w:type="dxa"/>
              <w:bottom w:w="80" w:type="dxa"/>
              <w:right w:w="100" w:type="dxa"/>
            </w:tcMar>
            <w:vAlign w:val="center"/>
          </w:tcPr>
          <w:p w14:paraId="05BD538B" w14:textId="77777777" w:rsidR="00A440CF" w:rsidRDefault="00000000">
            <w:r>
              <w:rPr>
                <w:b/>
                <w:bCs/>
                <w:sz w:val="20"/>
                <w:szCs w:val="20"/>
              </w:rPr>
              <w:t>Midpoint review</w:t>
            </w:r>
          </w:p>
        </w:tc>
        <w:tc>
          <w:tcPr>
            <w:tcW w:w="4450" w:type="dxa"/>
            <w:tcMar>
              <w:top w:w="80" w:type="dxa"/>
              <w:left w:w="100" w:type="dxa"/>
              <w:bottom w:w="80" w:type="dxa"/>
              <w:right w:w="100" w:type="dxa"/>
            </w:tcMar>
            <w:vAlign w:val="center"/>
          </w:tcPr>
          <w:p w14:paraId="4B3ABBC9" w14:textId="77777777" w:rsidR="00A440CF" w:rsidRDefault="00000000">
            <w:r>
              <w:rPr>
                <w:sz w:val="20"/>
                <w:szCs w:val="20"/>
              </w:rPr>
              <w:t>Conduct internal review of enrollment, service delivery, and early outcome data.</w:t>
            </w:r>
          </w:p>
        </w:tc>
        <w:tc>
          <w:tcPr>
            <w:tcW w:w="2500" w:type="dxa"/>
            <w:tcMar>
              <w:top w:w="80" w:type="dxa"/>
              <w:left w:w="100" w:type="dxa"/>
              <w:bottom w:w="80" w:type="dxa"/>
              <w:right w:w="100" w:type="dxa"/>
            </w:tcMar>
            <w:vAlign w:val="center"/>
          </w:tcPr>
          <w:p w14:paraId="2742E204" w14:textId="77777777" w:rsidR="00A440CF" w:rsidRDefault="00000000">
            <w:pPr>
              <w:jc w:val="center"/>
            </w:pPr>
            <w:r>
              <w:rPr>
                <w:sz w:val="20"/>
                <w:szCs w:val="20"/>
              </w:rPr>
              <w:t>Month 6</w:t>
            </w:r>
          </w:p>
        </w:tc>
      </w:tr>
      <w:tr w:rsidR="00A440CF" w14:paraId="3CF1C8FA" w14:textId="77777777">
        <w:tblPrEx>
          <w:tblCellMar>
            <w:top w:w="0" w:type="dxa"/>
            <w:bottom w:w="0" w:type="dxa"/>
          </w:tblCellMar>
        </w:tblPrEx>
        <w:tc>
          <w:tcPr>
            <w:tcW w:w="2400" w:type="dxa"/>
            <w:shd w:val="clear" w:color="auto" w:fill="F3F2EF"/>
            <w:tcMar>
              <w:top w:w="80" w:type="dxa"/>
              <w:left w:w="100" w:type="dxa"/>
              <w:bottom w:w="80" w:type="dxa"/>
              <w:right w:w="100" w:type="dxa"/>
            </w:tcMar>
            <w:vAlign w:val="center"/>
          </w:tcPr>
          <w:p w14:paraId="3E39C123" w14:textId="77777777" w:rsidR="00A440CF" w:rsidRDefault="00000000">
            <w:r>
              <w:rPr>
                <w:b/>
                <w:bCs/>
                <w:sz w:val="20"/>
                <w:szCs w:val="20"/>
              </w:rPr>
              <w:t>Continued service delivery</w:t>
            </w:r>
          </w:p>
        </w:tc>
        <w:tc>
          <w:tcPr>
            <w:tcW w:w="4450" w:type="dxa"/>
            <w:tcMar>
              <w:top w:w="80" w:type="dxa"/>
              <w:left w:w="100" w:type="dxa"/>
              <w:bottom w:w="80" w:type="dxa"/>
              <w:right w:w="100" w:type="dxa"/>
            </w:tcMar>
            <w:vAlign w:val="center"/>
          </w:tcPr>
          <w:p w14:paraId="48B33315" w14:textId="77777777" w:rsidR="00A440CF" w:rsidRDefault="00000000">
            <w:r>
              <w:rPr>
                <w:sz w:val="20"/>
                <w:szCs w:val="20"/>
              </w:rPr>
              <w:t>Sustain peer groups, counseling, and outreach at full capacity.</w:t>
            </w:r>
          </w:p>
        </w:tc>
        <w:tc>
          <w:tcPr>
            <w:tcW w:w="2500" w:type="dxa"/>
            <w:tcMar>
              <w:top w:w="80" w:type="dxa"/>
              <w:left w:w="100" w:type="dxa"/>
              <w:bottom w:w="80" w:type="dxa"/>
              <w:right w:w="100" w:type="dxa"/>
            </w:tcMar>
            <w:vAlign w:val="center"/>
          </w:tcPr>
          <w:p w14:paraId="1DBB7E87" w14:textId="77777777" w:rsidR="00A440CF" w:rsidRDefault="00000000">
            <w:pPr>
              <w:jc w:val="center"/>
            </w:pPr>
            <w:r>
              <w:rPr>
                <w:sz w:val="20"/>
                <w:szCs w:val="20"/>
              </w:rPr>
              <w:t>Months 6–11</w:t>
            </w:r>
          </w:p>
        </w:tc>
      </w:tr>
      <w:tr w:rsidR="00A440CF" w14:paraId="7DEFDE04" w14:textId="77777777">
        <w:tblPrEx>
          <w:tblCellMar>
            <w:top w:w="0" w:type="dxa"/>
            <w:bottom w:w="0" w:type="dxa"/>
          </w:tblCellMar>
        </w:tblPrEx>
        <w:tc>
          <w:tcPr>
            <w:tcW w:w="2400" w:type="dxa"/>
            <w:tcMar>
              <w:top w:w="80" w:type="dxa"/>
              <w:left w:w="100" w:type="dxa"/>
              <w:bottom w:w="80" w:type="dxa"/>
              <w:right w:w="100" w:type="dxa"/>
            </w:tcMar>
            <w:vAlign w:val="center"/>
          </w:tcPr>
          <w:p w14:paraId="22B7E0AF" w14:textId="77777777" w:rsidR="00A440CF" w:rsidRDefault="00000000">
            <w:r>
              <w:rPr>
                <w:b/>
                <w:bCs/>
                <w:sz w:val="20"/>
                <w:szCs w:val="20"/>
              </w:rPr>
              <w:t>Final evaluation &amp; reporting</w:t>
            </w:r>
          </w:p>
        </w:tc>
        <w:tc>
          <w:tcPr>
            <w:tcW w:w="4450" w:type="dxa"/>
            <w:tcMar>
              <w:top w:w="80" w:type="dxa"/>
              <w:left w:w="100" w:type="dxa"/>
              <w:bottom w:w="80" w:type="dxa"/>
              <w:right w:w="100" w:type="dxa"/>
            </w:tcMar>
            <w:vAlign w:val="center"/>
          </w:tcPr>
          <w:p w14:paraId="03336674" w14:textId="77777777" w:rsidR="00A440CF" w:rsidRDefault="00000000">
            <w:r>
              <w:rPr>
                <w:sz w:val="20"/>
                <w:szCs w:val="20"/>
              </w:rPr>
              <w:t>Complete outcome evaluation, participant surveys, and final grant report.</w:t>
            </w:r>
          </w:p>
        </w:tc>
        <w:tc>
          <w:tcPr>
            <w:tcW w:w="2500" w:type="dxa"/>
            <w:tcMar>
              <w:top w:w="80" w:type="dxa"/>
              <w:left w:w="100" w:type="dxa"/>
              <w:bottom w:w="80" w:type="dxa"/>
              <w:right w:w="100" w:type="dxa"/>
            </w:tcMar>
            <w:vAlign w:val="center"/>
          </w:tcPr>
          <w:p w14:paraId="65EE318D" w14:textId="77777777" w:rsidR="00A440CF" w:rsidRDefault="00000000">
            <w:pPr>
              <w:jc w:val="center"/>
            </w:pPr>
            <w:r>
              <w:rPr>
                <w:sz w:val="20"/>
                <w:szCs w:val="20"/>
              </w:rPr>
              <w:t>Month 12</w:t>
            </w:r>
          </w:p>
        </w:tc>
      </w:tr>
    </w:tbl>
    <w:p w14:paraId="76253098" w14:textId="77777777" w:rsidR="00A440CF" w:rsidRDefault="00A440CF">
      <w:pPr>
        <w:spacing w:before="200"/>
      </w:pPr>
    </w:p>
    <w:p w14:paraId="0BC61BDA" w14:textId="77777777" w:rsidR="00A440CF" w:rsidRDefault="00000000">
      <w:pPr>
        <w:pStyle w:val="Heading1"/>
        <w:pBdr>
          <w:bottom w:val="single" w:sz="8" w:space="4" w:color="B98F45"/>
        </w:pBdr>
        <w:spacing w:before="400" w:after="200"/>
      </w:pPr>
      <w:r>
        <w:t>8. Target Population</w:t>
      </w:r>
    </w:p>
    <w:p w14:paraId="4A272B93" w14:textId="77777777" w:rsidR="00A440CF" w:rsidRDefault="00000000">
      <w:pPr>
        <w:spacing w:after="160" w:line="276" w:lineRule="auto"/>
        <w:jc w:val="both"/>
      </w:pPr>
      <w:r>
        <w:t xml:space="preserve">CMHAI will serve adults aged 18 and older residing in four historically underserved Ashford County neighborhoods identified through CWI's existing community health data as having the highest </w:t>
      </w:r>
      <w:r>
        <w:lastRenderedPageBreak/>
        <w:t>concentration of low-income households, limited existing mental health infrastructure, and elevated rates of self-reported unmet health needs.</w:t>
      </w:r>
    </w:p>
    <w:p w14:paraId="5BBF74C7" w14:textId="77777777" w:rsidR="00A440CF" w:rsidRDefault="00000000">
      <w:pPr>
        <w:spacing w:after="160" w:line="276" w:lineRule="auto"/>
        <w:jc w:val="both"/>
      </w:pPr>
      <w:r>
        <w:t>Priority will be given to residents who are uninsured or underinsured, individuals who have not previously accessed mental health services, older adults, and members of the county's immigrant and limited-English-proficiency communities, in recognition of the compounded barriers these groups experience. Outreach materials and peer support facilitation will be offered in English and Spanish, reflecting the predominant languages spoken in the target neighborhoods.</w:t>
      </w:r>
    </w:p>
    <w:p w14:paraId="5AEFCFFB" w14:textId="77777777" w:rsidR="00A440CF" w:rsidRDefault="00000000">
      <w:pPr>
        <w:spacing w:after="160" w:line="276" w:lineRule="auto"/>
        <w:jc w:val="both"/>
      </w:pPr>
      <w:r>
        <w:t>CWI anticipates that approximately 250 unique adults will enroll in one or more CMHAI components during the 12-month grant period, based on comparable enrollment patterns observed in CWI's existing wellness workshop and liaison programs.</w:t>
      </w:r>
    </w:p>
    <w:p w14:paraId="3D0ABA48" w14:textId="77777777" w:rsidR="00A440CF" w:rsidRDefault="00000000">
      <w:pPr>
        <w:pStyle w:val="Heading1"/>
        <w:pBdr>
          <w:bottom w:val="single" w:sz="8" w:space="4" w:color="B98F45"/>
        </w:pBdr>
        <w:spacing w:before="400" w:after="200"/>
      </w:pPr>
      <w:r>
        <w:t>9. Implementation Plan</w:t>
      </w:r>
    </w:p>
    <w:p w14:paraId="5F993DC9" w14:textId="77777777" w:rsidR="00A440CF" w:rsidRDefault="00000000">
      <w:pPr>
        <w:spacing w:after="160" w:line="276" w:lineRule="auto"/>
        <w:jc w:val="both"/>
      </w:pPr>
      <w:r>
        <w:t>CMHAI will be implemented in three overlapping phases over the 12-month grant period.</w:t>
      </w:r>
    </w:p>
    <w:p w14:paraId="14E43BDD" w14:textId="77777777" w:rsidR="00A440CF" w:rsidRDefault="00000000">
      <w:pPr>
        <w:spacing w:before="200" w:after="100"/>
      </w:pPr>
      <w:r>
        <w:rPr>
          <w:rFonts w:ascii="Montserrat" w:eastAsia="Montserrat" w:hAnsi="Montserrat" w:cs="Montserrat"/>
          <w:b/>
          <w:bCs/>
          <w:color w:val="1B2A41"/>
          <w:sz w:val="21"/>
          <w:szCs w:val="21"/>
        </w:rPr>
        <w:t>9.1 Phase One: Startup (Months 1–2)</w:t>
      </w:r>
    </w:p>
    <w:p w14:paraId="12D939B9" w14:textId="77777777" w:rsidR="00A440CF" w:rsidRDefault="00000000">
      <w:pPr>
        <w:spacing w:after="160" w:line="276" w:lineRule="auto"/>
        <w:jc w:val="both"/>
      </w:pPr>
      <w:r>
        <w:t>CWI will hire and train two community health workers, formalize clinical partnership agreements for subsidized counseling, recruit and train peer support group facilitators, and finalize outreach materials in English and Spanish.</w:t>
      </w:r>
    </w:p>
    <w:p w14:paraId="328816AB" w14:textId="77777777" w:rsidR="00A440CF" w:rsidRDefault="00000000">
      <w:pPr>
        <w:spacing w:before="200" w:after="100"/>
      </w:pPr>
      <w:r>
        <w:rPr>
          <w:rFonts w:ascii="Montserrat" w:eastAsia="Montserrat" w:hAnsi="Montserrat" w:cs="Montserrat"/>
          <w:b/>
          <w:bCs/>
          <w:color w:val="1B2A41"/>
          <w:sz w:val="21"/>
          <w:szCs w:val="21"/>
        </w:rPr>
        <w:t>9.2 Phase Two: Full Implementation (Months 3–11)</w:t>
      </w:r>
    </w:p>
    <w:p w14:paraId="29DA7B42" w14:textId="77777777" w:rsidR="00A440CF" w:rsidRDefault="00000000">
      <w:pPr>
        <w:spacing w:after="160" w:line="276" w:lineRule="auto"/>
        <w:jc w:val="both"/>
      </w:pPr>
      <w:r>
        <w:t>CMHAI will operate at full capacity, delivering all four program components simultaneously. Community health workers will conduct ongoing outreach and intake, peer support groups will meet on a recurring schedule across four neighborhoods, subsidized counseling will be delivered on a rolling enrollment basis, and the referral network will be expanded and maintained.</w:t>
      </w:r>
    </w:p>
    <w:p w14:paraId="3DB76459" w14:textId="77777777" w:rsidR="00A440CF" w:rsidRDefault="00000000">
      <w:pPr>
        <w:spacing w:before="200" w:after="100"/>
      </w:pPr>
      <w:r>
        <w:rPr>
          <w:rFonts w:ascii="Montserrat" w:eastAsia="Montserrat" w:hAnsi="Montserrat" w:cs="Montserrat"/>
          <w:b/>
          <w:bCs/>
          <w:color w:val="1B2A41"/>
          <w:sz w:val="21"/>
          <w:szCs w:val="21"/>
        </w:rPr>
        <w:t>9.3 Phase Three: Evaluation and Reporting (Months 11–12)</w:t>
      </w:r>
    </w:p>
    <w:p w14:paraId="3F918E36" w14:textId="77777777" w:rsidR="00A440CF" w:rsidRDefault="00000000">
      <w:pPr>
        <w:spacing w:after="160" w:line="276" w:lineRule="auto"/>
        <w:jc w:val="both"/>
      </w:pPr>
      <w:r>
        <w:t>CWI's Data and Evaluation Coordinator will lead a final round of participant surveys, compile program data against the SMART objectives outlined in Section 6, and prepare a final report documenting outcomes, lessons learned, and recommendations for continued operation.</w:t>
      </w:r>
    </w:p>
    <w:p w14:paraId="4E098C53" w14:textId="77777777" w:rsidR="00A440CF" w:rsidRDefault="00000000">
      <w:pPr>
        <w:spacing w:before="200" w:after="100"/>
      </w:pPr>
      <w:r>
        <w:rPr>
          <w:rFonts w:ascii="Montserrat" w:eastAsia="Montserrat" w:hAnsi="Montserrat" w:cs="Montserrat"/>
          <w:b/>
          <w:bCs/>
          <w:color w:val="1B2A41"/>
          <w:sz w:val="21"/>
          <w:szCs w:val="21"/>
        </w:rPr>
        <w:t>9.4 Staffing and Oversight</w:t>
      </w:r>
    </w:p>
    <w:p w14:paraId="5F593CC5" w14:textId="77777777" w:rsidR="00A440CF" w:rsidRDefault="00000000">
      <w:pPr>
        <w:spacing w:after="160" w:line="276" w:lineRule="auto"/>
        <w:jc w:val="both"/>
      </w:pPr>
      <w:r>
        <w:t>The project will be overseen by CWI's Programs Director, with day-to-day coordination provided by the two Community Health Coordinators and direct service delivery led by the newly hired community health workers and partner clinicians. The Executive Director will maintain overall fiscal and grant compliance responsibility.</w:t>
      </w:r>
    </w:p>
    <w:p w14:paraId="7D7D2BA0" w14:textId="77777777" w:rsidR="00A440CF" w:rsidRDefault="00000000">
      <w:pPr>
        <w:pStyle w:val="Heading1"/>
        <w:pBdr>
          <w:bottom w:val="single" w:sz="8" w:space="4" w:color="B98F45"/>
        </w:pBdr>
        <w:spacing w:before="400" w:after="200"/>
      </w:pPr>
      <w:r>
        <w:t>10. Expected Outcomes</w:t>
      </w:r>
    </w:p>
    <w:p w14:paraId="45FFA611" w14:textId="77777777" w:rsidR="00A440CF" w:rsidRDefault="00000000">
      <w:pPr>
        <w:spacing w:after="160" w:line="276" w:lineRule="auto"/>
        <w:jc w:val="both"/>
      </w:pPr>
      <w:r>
        <w:t>CWI expects CMHAI to produce the following outcomes by the end of the 12-month grant period:</w:t>
      </w:r>
    </w:p>
    <w:p w14:paraId="7B92A746" w14:textId="77777777" w:rsidR="00A440CF" w:rsidRDefault="00000000">
      <w:pPr>
        <w:pStyle w:val="ListParagraph"/>
        <w:numPr>
          <w:ilvl w:val="0"/>
          <w:numId w:val="2"/>
        </w:numPr>
        <w:spacing w:after="90"/>
      </w:pPr>
      <w:r>
        <w:t>Increased access: At least 250 underserved adults will access mental health support through CMHAI who would not otherwise have received it.</w:t>
      </w:r>
    </w:p>
    <w:p w14:paraId="4428251C" w14:textId="77777777" w:rsidR="00A440CF" w:rsidRDefault="00000000">
      <w:pPr>
        <w:pStyle w:val="ListParagraph"/>
        <w:numPr>
          <w:ilvl w:val="0"/>
          <w:numId w:val="2"/>
        </w:numPr>
        <w:spacing w:after="90"/>
      </w:pPr>
      <w:r>
        <w:t>Improved wellbeing: At least 70% of participants completing subsidized counseling will report improved self-assessed wellbeing.</w:t>
      </w:r>
    </w:p>
    <w:p w14:paraId="5324869A" w14:textId="77777777" w:rsidR="00A440CF" w:rsidRDefault="00000000">
      <w:pPr>
        <w:pStyle w:val="ListParagraph"/>
        <w:numPr>
          <w:ilvl w:val="0"/>
          <w:numId w:val="2"/>
        </w:numPr>
        <w:spacing w:after="90"/>
      </w:pPr>
      <w:r>
        <w:lastRenderedPageBreak/>
        <w:t>Reduced navigation difficulty: At least 80% of participants will report reduced difficulty identifying and accessing appropriate mental health services.</w:t>
      </w:r>
    </w:p>
    <w:p w14:paraId="3B4C9D35" w14:textId="77777777" w:rsidR="00A440CF" w:rsidRDefault="00000000">
      <w:pPr>
        <w:pStyle w:val="ListParagraph"/>
        <w:numPr>
          <w:ilvl w:val="0"/>
          <w:numId w:val="2"/>
        </w:numPr>
        <w:spacing w:after="90"/>
      </w:pPr>
      <w:r>
        <w:t>Strengthened referral infrastructure: At least three new formal referral pathways will be established, extending Ashford County's mental health service network beyond the life of the grant.</w:t>
      </w:r>
    </w:p>
    <w:p w14:paraId="0537DD3D" w14:textId="77777777" w:rsidR="00A440CF" w:rsidRDefault="00000000">
      <w:pPr>
        <w:pStyle w:val="ListParagraph"/>
        <w:numPr>
          <w:ilvl w:val="0"/>
          <w:numId w:val="2"/>
        </w:numPr>
        <w:spacing w:after="90"/>
      </w:pPr>
      <w:r>
        <w:t>Reduced stigma indicators: Community outreach and peer support participation data will provide early indicators of increased community willingness to seek mental health support.</w:t>
      </w:r>
    </w:p>
    <w:p w14:paraId="4B2F1E9D" w14:textId="77777777" w:rsidR="00A440CF" w:rsidRDefault="00000000">
      <w:pPr>
        <w:spacing w:after="160" w:line="276" w:lineRule="auto"/>
        <w:jc w:val="both"/>
      </w:pPr>
      <w:r>
        <w:t>These outcomes align directly with the goals and SMART objectives described in Sections 5 and 6, and will be tracked through the evaluation plan described in Section 11.</w:t>
      </w:r>
    </w:p>
    <w:p w14:paraId="69B64260" w14:textId="77777777" w:rsidR="00A440CF" w:rsidRDefault="00000000">
      <w:pPr>
        <w:pStyle w:val="Heading1"/>
        <w:pBdr>
          <w:bottom w:val="single" w:sz="8" w:space="4" w:color="B98F45"/>
        </w:pBdr>
        <w:spacing w:before="400" w:after="200"/>
      </w:pPr>
      <w:r>
        <w:t>11. Evaluation</w:t>
      </w:r>
    </w:p>
    <w:p w14:paraId="101D58CF" w14:textId="77777777" w:rsidR="00A440CF" w:rsidRDefault="00000000">
      <w:pPr>
        <w:spacing w:after="160" w:line="276" w:lineRule="auto"/>
        <w:jc w:val="both"/>
      </w:pPr>
      <w:r>
        <w:t>CWI will use a mixed-methods evaluation approach combining quantitative service data with participant-reported outcome surveys, coordinated by CWI's Data and Evaluation Coordinator.</w:t>
      </w:r>
    </w:p>
    <w:p w14:paraId="50E4C14F" w14:textId="77777777" w:rsidR="00A440CF" w:rsidRDefault="00000000">
      <w:pPr>
        <w:spacing w:before="200" w:after="100"/>
      </w:pPr>
      <w:r>
        <w:rPr>
          <w:rFonts w:ascii="Montserrat" w:eastAsia="Montserrat" w:hAnsi="Montserrat" w:cs="Montserrat"/>
          <w:b/>
          <w:bCs/>
          <w:color w:val="1B2A41"/>
          <w:sz w:val="21"/>
          <w:szCs w:val="21"/>
        </w:rPr>
        <w:t>11.1 Data Collection</w:t>
      </w:r>
    </w:p>
    <w:p w14:paraId="72D8D1CE" w14:textId="77777777" w:rsidR="00A440CF" w:rsidRDefault="00000000">
      <w:pPr>
        <w:pStyle w:val="ListParagraph"/>
        <w:numPr>
          <w:ilvl w:val="0"/>
          <w:numId w:val="2"/>
        </w:numPr>
        <w:spacing w:after="90"/>
      </w:pPr>
      <w:r>
        <w:t>Enrollment and service utilization data collected at intake and throughout program participation.</w:t>
      </w:r>
    </w:p>
    <w:p w14:paraId="02F5D170" w14:textId="77777777" w:rsidR="00A440CF" w:rsidRDefault="00000000">
      <w:pPr>
        <w:pStyle w:val="ListParagraph"/>
        <w:numPr>
          <w:ilvl w:val="0"/>
          <w:numId w:val="2"/>
        </w:numPr>
        <w:spacing w:after="90"/>
      </w:pPr>
      <w:r>
        <w:t>A standardized wellbeing survey administered at intake and at program exit for all counseling participants.</w:t>
      </w:r>
    </w:p>
    <w:p w14:paraId="2B706412" w14:textId="77777777" w:rsidR="00A440CF" w:rsidRDefault="00000000">
      <w:pPr>
        <w:pStyle w:val="ListParagraph"/>
        <w:numPr>
          <w:ilvl w:val="0"/>
          <w:numId w:val="2"/>
        </w:numPr>
        <w:spacing w:after="90"/>
      </w:pPr>
      <w:r>
        <w:t>A navigation-difficulty survey administered at intake and exit for all enrolled participants.</w:t>
      </w:r>
    </w:p>
    <w:p w14:paraId="11BBCABB" w14:textId="77777777" w:rsidR="00A440CF" w:rsidRDefault="00000000">
      <w:pPr>
        <w:pStyle w:val="ListParagraph"/>
        <w:numPr>
          <w:ilvl w:val="0"/>
          <w:numId w:val="2"/>
        </w:numPr>
        <w:spacing w:after="90"/>
      </w:pPr>
      <w:r>
        <w:t>Referral tracking data documenting new and existing partner pathways.</w:t>
      </w:r>
    </w:p>
    <w:p w14:paraId="6C5D1749" w14:textId="77777777" w:rsidR="00A440CF" w:rsidRDefault="00000000">
      <w:pPr>
        <w:spacing w:before="200" w:after="100"/>
      </w:pPr>
      <w:r>
        <w:rPr>
          <w:rFonts w:ascii="Montserrat" w:eastAsia="Montserrat" w:hAnsi="Montserrat" w:cs="Montserrat"/>
          <w:b/>
          <w:bCs/>
          <w:color w:val="1B2A41"/>
          <w:sz w:val="21"/>
          <w:szCs w:val="21"/>
        </w:rPr>
        <w:t>11.2 Analysis and Reporting</w:t>
      </w:r>
    </w:p>
    <w:p w14:paraId="4A5343EE" w14:textId="77777777" w:rsidR="00A440CF" w:rsidRDefault="00000000">
      <w:pPr>
        <w:spacing w:after="160" w:line="276" w:lineRule="auto"/>
        <w:jc w:val="both"/>
      </w:pPr>
      <w:r>
        <w:t>Data will be reviewed at the month 6 midpoint and compiled into a final evaluation report at month 12, measuring progress against each SMART objective in Section 6. Findings will inform both the final grant report and CWI's planning for the initiative's second year.</w:t>
      </w:r>
    </w:p>
    <w:p w14:paraId="7761D767" w14:textId="77777777" w:rsidR="00A440CF" w:rsidRDefault="00000000">
      <w:pPr>
        <w:spacing w:before="200" w:after="100"/>
      </w:pPr>
      <w:r>
        <w:rPr>
          <w:rFonts w:ascii="Montserrat" w:eastAsia="Montserrat" w:hAnsi="Montserrat" w:cs="Montserrat"/>
          <w:b/>
          <w:bCs/>
          <w:color w:val="1B2A41"/>
          <w:sz w:val="21"/>
          <w:szCs w:val="21"/>
        </w:rPr>
        <w:t>11.3 Continuous Improvement</w:t>
      </w:r>
    </w:p>
    <w:p w14:paraId="7F91715E" w14:textId="77777777" w:rsidR="00A440CF" w:rsidRDefault="00000000">
      <w:pPr>
        <w:spacing w:after="160" w:line="276" w:lineRule="auto"/>
        <w:jc w:val="both"/>
      </w:pPr>
      <w:r>
        <w:t>Midpoint findings will be used to adjust outreach strategies, staffing allocation, or referral partnerships as needed to ensure the project remains on track to meet its year-end targets.</w:t>
      </w:r>
    </w:p>
    <w:p w14:paraId="09B7132B" w14:textId="77777777" w:rsidR="00A440CF" w:rsidRDefault="00000000">
      <w:pPr>
        <w:pStyle w:val="Heading1"/>
        <w:pBdr>
          <w:bottom w:val="single" w:sz="8" w:space="4" w:color="B98F45"/>
        </w:pBdr>
        <w:spacing w:before="400" w:after="200"/>
      </w:pPr>
      <w:r>
        <w:t>12. Sustainability</w:t>
      </w:r>
    </w:p>
    <w:p w14:paraId="4F672160" w14:textId="77777777" w:rsidR="00A440CF" w:rsidRDefault="00000000">
      <w:pPr>
        <w:spacing w:after="160" w:line="276" w:lineRule="auto"/>
        <w:jc w:val="both"/>
      </w:pPr>
      <w:r>
        <w:t>CWI has designed CMHAI with sustainability in mind from the outset. The initiative builds directly on CWI's existing community health liaison infrastructure and referral relationships, meaning that core components can continue at a reduced scale even without continued grant funding.</w:t>
      </w:r>
    </w:p>
    <w:p w14:paraId="42784807" w14:textId="77777777" w:rsidR="00A440CF" w:rsidRDefault="00000000">
      <w:pPr>
        <w:spacing w:before="200" w:after="100"/>
      </w:pPr>
      <w:r>
        <w:rPr>
          <w:rFonts w:ascii="Montserrat" w:eastAsia="Montserrat" w:hAnsi="Montserrat" w:cs="Montserrat"/>
          <w:b/>
          <w:bCs/>
          <w:color w:val="1B2A41"/>
          <w:sz w:val="21"/>
          <w:szCs w:val="21"/>
        </w:rPr>
        <w:t>12.1 Diversified Funding Strategy</w:t>
      </w:r>
    </w:p>
    <w:p w14:paraId="1B6FFA74" w14:textId="77777777" w:rsidR="00A440CF" w:rsidRDefault="00000000">
      <w:pPr>
        <w:spacing w:after="160" w:line="276" w:lineRule="auto"/>
        <w:jc w:val="both"/>
      </w:pPr>
      <w:r>
        <w:t>During the grant period, CWI will pursue a diversified funding strategy for CMHAI's second year, including local foundation grants, county behavioral health funding streams, and a modest individual giving campaign built around the initiative's first-year outcomes.</w:t>
      </w:r>
    </w:p>
    <w:p w14:paraId="31E7F9AD" w14:textId="77777777" w:rsidR="00A440CF" w:rsidRDefault="00000000">
      <w:pPr>
        <w:spacing w:before="200" w:after="100"/>
      </w:pPr>
      <w:r>
        <w:rPr>
          <w:rFonts w:ascii="Montserrat" w:eastAsia="Montserrat" w:hAnsi="Montserrat" w:cs="Montserrat"/>
          <w:b/>
          <w:bCs/>
          <w:color w:val="1B2A41"/>
          <w:sz w:val="21"/>
          <w:szCs w:val="21"/>
        </w:rPr>
        <w:t>12.2 Partnership-Based Sustainability</w:t>
      </w:r>
    </w:p>
    <w:p w14:paraId="2B622AE8" w14:textId="77777777" w:rsidR="00A440CF" w:rsidRDefault="00000000">
      <w:pPr>
        <w:spacing w:after="160" w:line="276" w:lineRule="auto"/>
        <w:jc w:val="both"/>
      </w:pPr>
      <w:r>
        <w:lastRenderedPageBreak/>
        <w:t>The referral partnerships formalized during the grant period are expected to continue independent of CMHAI funding, expanding the county's broader mental health referral infrastructure regardless of CMHAI's future funding status.</w:t>
      </w:r>
    </w:p>
    <w:p w14:paraId="7014BD93" w14:textId="77777777" w:rsidR="00A440CF" w:rsidRDefault="00000000">
      <w:pPr>
        <w:spacing w:before="200" w:after="100"/>
      </w:pPr>
      <w:r>
        <w:rPr>
          <w:rFonts w:ascii="Montserrat" w:eastAsia="Montserrat" w:hAnsi="Montserrat" w:cs="Montserrat"/>
          <w:b/>
          <w:bCs/>
          <w:color w:val="1B2A41"/>
          <w:sz w:val="21"/>
          <w:szCs w:val="21"/>
        </w:rPr>
        <w:t>12.3 Community Ownership</w:t>
      </w:r>
    </w:p>
    <w:p w14:paraId="66B9B28D" w14:textId="77777777" w:rsidR="00A440CF" w:rsidRDefault="00000000">
      <w:pPr>
        <w:spacing w:after="160" w:line="276" w:lineRule="auto"/>
        <w:jc w:val="both"/>
      </w:pPr>
      <w:r>
        <w:t>Peer support groups will be structured to develop volunteer co-facilitators over the course of the grant period, building internal capacity for the groups to continue with reduced paid staff involvement after month 12.</w:t>
      </w:r>
    </w:p>
    <w:p w14:paraId="7D03B8B1" w14:textId="77777777" w:rsidR="00A440CF" w:rsidRDefault="00000000">
      <w:pPr>
        <w:pStyle w:val="Heading1"/>
        <w:pBdr>
          <w:bottom w:val="single" w:sz="8" w:space="4" w:color="B98F45"/>
        </w:pBdr>
        <w:spacing w:before="400" w:after="200"/>
      </w:pPr>
      <w:r>
        <w:t>13. Organizational Capacity</w:t>
      </w:r>
    </w:p>
    <w:p w14:paraId="12D1469B" w14:textId="77777777" w:rsidR="00A440CF" w:rsidRDefault="00000000">
      <w:pPr>
        <w:spacing w:after="160" w:line="276" w:lineRule="auto"/>
        <w:jc w:val="both"/>
      </w:pPr>
      <w:r>
        <w:t>CWI's six years of operating experience in Ashford County, its existing staff infrastructure, and its established community relationships position the organization to implement CMHAI effectively.</w:t>
      </w:r>
    </w:p>
    <w:p w14:paraId="018E55CB" w14:textId="77777777" w:rsidR="00A440CF" w:rsidRDefault="00000000">
      <w:pPr>
        <w:spacing w:before="200" w:after="100"/>
      </w:pPr>
      <w:r>
        <w:rPr>
          <w:rFonts w:ascii="Montserrat" w:eastAsia="Montserrat" w:hAnsi="Montserrat" w:cs="Montserrat"/>
          <w:b/>
          <w:bCs/>
          <w:color w:val="1B2A41"/>
          <w:sz w:val="21"/>
          <w:szCs w:val="21"/>
        </w:rPr>
        <w:t>13.1 Programmatic Experience</w:t>
      </w:r>
    </w:p>
    <w:p w14:paraId="4C7E0A09" w14:textId="77777777" w:rsidR="00A440CF" w:rsidRDefault="00000000">
      <w:pPr>
        <w:spacing w:after="160" w:line="276" w:lineRule="auto"/>
        <w:jc w:val="both"/>
      </w:pPr>
      <w:r>
        <w:t>CWI's existing community health liaison program demonstrates direct experience with outreach, intake, and referral coordination — the same operational functions at the core of CMHAI. The organization's wellness workshop series further demonstrates its ability to design and deliver recurring, community-based programming.</w:t>
      </w:r>
    </w:p>
    <w:p w14:paraId="1A53EB71" w14:textId="77777777" w:rsidR="00A440CF" w:rsidRDefault="00000000">
      <w:pPr>
        <w:spacing w:before="200" w:after="100"/>
      </w:pPr>
      <w:r>
        <w:rPr>
          <w:rFonts w:ascii="Montserrat" w:eastAsia="Montserrat" w:hAnsi="Montserrat" w:cs="Montserrat"/>
          <w:b/>
          <w:bCs/>
          <w:color w:val="1B2A41"/>
          <w:sz w:val="21"/>
          <w:szCs w:val="21"/>
        </w:rPr>
        <w:t>13.2 Fiscal and Administrative Capacity</w:t>
      </w:r>
    </w:p>
    <w:p w14:paraId="207C09C5" w14:textId="77777777" w:rsidR="00A440CF" w:rsidRDefault="00000000">
      <w:pPr>
        <w:spacing w:after="160" w:line="276" w:lineRule="auto"/>
        <w:jc w:val="both"/>
      </w:pPr>
      <w:r>
        <w:t>CWI's Executive Director and Office Manager maintain the organization's financial systems, including grant budget tracking and compliance reporting, and CWI has successfully managed prior restricted grants from local funders without audit findings.</w:t>
      </w:r>
    </w:p>
    <w:p w14:paraId="518F9B7D" w14:textId="77777777" w:rsidR="00A440CF" w:rsidRDefault="00000000">
      <w:pPr>
        <w:spacing w:before="200" w:after="100"/>
      </w:pPr>
      <w:r>
        <w:rPr>
          <w:rFonts w:ascii="Montserrat" w:eastAsia="Montserrat" w:hAnsi="Montserrat" w:cs="Montserrat"/>
          <w:b/>
          <w:bCs/>
          <w:color w:val="1B2A41"/>
          <w:sz w:val="21"/>
          <w:szCs w:val="21"/>
        </w:rPr>
        <w:t>13.3 Community Trust</w:t>
      </w:r>
    </w:p>
    <w:p w14:paraId="0D4CEAD9" w14:textId="77777777" w:rsidR="00A440CF" w:rsidRDefault="00000000">
      <w:pPr>
        <w:spacing w:after="160" w:line="276" w:lineRule="auto"/>
        <w:jc w:val="both"/>
      </w:pPr>
      <w:r>
        <w:t>CWI's community health liaisons and volunteer network have built relationships across the four target neighborhoods over multiple years, providing a foundation of trust that is critical to reaching residents who may otherwise be reluctant to engage with a new mental health program.</w:t>
      </w:r>
    </w:p>
    <w:p w14:paraId="5ADA318A" w14:textId="77777777" w:rsidR="00A440CF" w:rsidRDefault="00000000">
      <w:pPr>
        <w:pStyle w:val="Heading1"/>
        <w:pBdr>
          <w:bottom w:val="single" w:sz="8" w:space="4" w:color="B98F45"/>
        </w:pBdr>
        <w:spacing w:before="400" w:after="200"/>
      </w:pPr>
      <w:r>
        <w:t>14. Budget Narrative</w:t>
      </w:r>
    </w:p>
    <w:p w14:paraId="7FAB6980" w14:textId="77777777" w:rsidR="00A440CF" w:rsidRDefault="00000000">
      <w:pPr>
        <w:spacing w:after="160" w:line="276" w:lineRule="auto"/>
        <w:jc w:val="both"/>
      </w:pPr>
      <w:r>
        <w:t>The following budget narrative details how the requested $75,000 will be allocated across CMHAI's core program components.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50"/>
        <w:gridCol w:w="2500"/>
        <w:gridCol w:w="2200"/>
      </w:tblGrid>
      <w:tr w:rsidR="00A440CF" w14:paraId="562E3FF5" w14:textId="77777777">
        <w:tblPrEx>
          <w:tblCellMar>
            <w:top w:w="0" w:type="dxa"/>
            <w:bottom w:w="0" w:type="dxa"/>
          </w:tblCellMar>
        </w:tblPrEx>
        <w:trPr>
          <w:tblHeader/>
        </w:trPr>
        <w:tc>
          <w:tcPr>
            <w:tcW w:w="4650" w:type="dxa"/>
            <w:shd w:val="clear" w:color="auto" w:fill="1B2A41"/>
            <w:tcMar>
              <w:top w:w="80" w:type="dxa"/>
              <w:left w:w="100" w:type="dxa"/>
              <w:bottom w:w="80" w:type="dxa"/>
              <w:right w:w="100" w:type="dxa"/>
            </w:tcMar>
            <w:vAlign w:val="center"/>
          </w:tcPr>
          <w:p w14:paraId="6DFB42B1" w14:textId="77777777" w:rsidR="00A440CF" w:rsidRDefault="00000000">
            <w:r>
              <w:rPr>
                <w:b/>
                <w:bCs/>
                <w:color w:val="FFFFFF"/>
                <w:sz w:val="20"/>
                <w:szCs w:val="20"/>
              </w:rPr>
              <w:t>Budget Line Item</w:t>
            </w:r>
          </w:p>
        </w:tc>
        <w:tc>
          <w:tcPr>
            <w:tcW w:w="2500" w:type="dxa"/>
            <w:shd w:val="clear" w:color="auto" w:fill="1B2A41"/>
            <w:tcMar>
              <w:top w:w="80" w:type="dxa"/>
              <w:left w:w="100" w:type="dxa"/>
              <w:bottom w:w="80" w:type="dxa"/>
              <w:right w:w="100" w:type="dxa"/>
            </w:tcMar>
            <w:vAlign w:val="center"/>
          </w:tcPr>
          <w:p w14:paraId="5B3A6F6B" w14:textId="77777777" w:rsidR="00A440CF" w:rsidRDefault="00000000">
            <w:pPr>
              <w:jc w:val="center"/>
            </w:pPr>
            <w:r>
              <w:rPr>
                <w:b/>
                <w:bCs/>
                <w:color w:val="FFFFFF"/>
                <w:sz w:val="20"/>
                <w:szCs w:val="20"/>
              </w:rPr>
              <w:t>Amount</w:t>
            </w:r>
          </w:p>
        </w:tc>
        <w:tc>
          <w:tcPr>
            <w:tcW w:w="2200" w:type="dxa"/>
            <w:shd w:val="clear" w:color="auto" w:fill="1B2A41"/>
            <w:tcMar>
              <w:top w:w="80" w:type="dxa"/>
              <w:left w:w="100" w:type="dxa"/>
              <w:bottom w:w="80" w:type="dxa"/>
              <w:right w:w="100" w:type="dxa"/>
            </w:tcMar>
            <w:vAlign w:val="center"/>
          </w:tcPr>
          <w:p w14:paraId="6BD14418" w14:textId="77777777" w:rsidR="00A440CF" w:rsidRDefault="00000000">
            <w:pPr>
              <w:jc w:val="center"/>
            </w:pPr>
            <w:r>
              <w:rPr>
                <w:b/>
                <w:bCs/>
                <w:color w:val="FFFFFF"/>
                <w:sz w:val="20"/>
                <w:szCs w:val="20"/>
              </w:rPr>
              <w:t>% of Total</w:t>
            </w:r>
          </w:p>
        </w:tc>
      </w:tr>
      <w:tr w:rsidR="00A440CF" w14:paraId="5C7B24F0" w14:textId="77777777">
        <w:tblPrEx>
          <w:tblCellMar>
            <w:top w:w="0" w:type="dxa"/>
            <w:bottom w:w="0" w:type="dxa"/>
          </w:tblCellMar>
        </w:tblPrEx>
        <w:tc>
          <w:tcPr>
            <w:tcW w:w="4650" w:type="dxa"/>
            <w:shd w:val="clear" w:color="auto" w:fill="F3F2EF"/>
            <w:tcMar>
              <w:top w:w="80" w:type="dxa"/>
              <w:left w:w="100" w:type="dxa"/>
              <w:bottom w:w="80" w:type="dxa"/>
              <w:right w:w="100" w:type="dxa"/>
            </w:tcMar>
            <w:vAlign w:val="center"/>
          </w:tcPr>
          <w:p w14:paraId="475881EE" w14:textId="77777777" w:rsidR="00A440CF" w:rsidRDefault="00000000">
            <w:r>
              <w:rPr>
                <w:sz w:val="20"/>
                <w:szCs w:val="20"/>
              </w:rPr>
              <w:t>Community Health Worker Salaries (2 FTE, partial year)</w:t>
            </w:r>
          </w:p>
        </w:tc>
        <w:tc>
          <w:tcPr>
            <w:tcW w:w="2500" w:type="dxa"/>
            <w:tcMar>
              <w:top w:w="80" w:type="dxa"/>
              <w:left w:w="100" w:type="dxa"/>
              <w:bottom w:w="80" w:type="dxa"/>
              <w:right w:w="100" w:type="dxa"/>
            </w:tcMar>
            <w:vAlign w:val="center"/>
          </w:tcPr>
          <w:p w14:paraId="297D5ED4" w14:textId="77777777" w:rsidR="00A440CF" w:rsidRDefault="00000000">
            <w:pPr>
              <w:jc w:val="center"/>
            </w:pPr>
            <w:r>
              <w:rPr>
                <w:sz w:val="20"/>
                <w:szCs w:val="20"/>
              </w:rPr>
              <w:t>$38,000</w:t>
            </w:r>
          </w:p>
        </w:tc>
        <w:tc>
          <w:tcPr>
            <w:tcW w:w="2200" w:type="dxa"/>
            <w:shd w:val="clear" w:color="auto" w:fill="F3F2EF"/>
            <w:tcMar>
              <w:top w:w="80" w:type="dxa"/>
              <w:left w:w="100" w:type="dxa"/>
              <w:bottom w:w="80" w:type="dxa"/>
              <w:right w:w="100" w:type="dxa"/>
            </w:tcMar>
            <w:vAlign w:val="center"/>
          </w:tcPr>
          <w:p w14:paraId="49ABBCE9" w14:textId="77777777" w:rsidR="00A440CF" w:rsidRDefault="00000000">
            <w:pPr>
              <w:jc w:val="center"/>
            </w:pPr>
            <w:r>
              <w:rPr>
                <w:sz w:val="20"/>
                <w:szCs w:val="20"/>
              </w:rPr>
              <w:t>50.7%</w:t>
            </w:r>
          </w:p>
        </w:tc>
      </w:tr>
      <w:tr w:rsidR="00A440CF" w14:paraId="237A1369" w14:textId="77777777">
        <w:tblPrEx>
          <w:tblCellMar>
            <w:top w:w="0" w:type="dxa"/>
            <w:bottom w:w="0" w:type="dxa"/>
          </w:tblCellMar>
        </w:tblPrEx>
        <w:tc>
          <w:tcPr>
            <w:tcW w:w="4650" w:type="dxa"/>
            <w:tcMar>
              <w:top w:w="80" w:type="dxa"/>
              <w:left w:w="100" w:type="dxa"/>
              <w:bottom w:w="80" w:type="dxa"/>
              <w:right w:w="100" w:type="dxa"/>
            </w:tcMar>
            <w:vAlign w:val="center"/>
          </w:tcPr>
          <w:p w14:paraId="7B44F369" w14:textId="77777777" w:rsidR="00A440CF" w:rsidRDefault="00000000">
            <w:r>
              <w:rPr>
                <w:sz w:val="20"/>
                <w:szCs w:val="20"/>
              </w:rPr>
              <w:t>Clinical Partnership / Subsidized Counseling Sessions</w:t>
            </w:r>
          </w:p>
        </w:tc>
        <w:tc>
          <w:tcPr>
            <w:tcW w:w="2500" w:type="dxa"/>
            <w:tcMar>
              <w:top w:w="80" w:type="dxa"/>
              <w:left w:w="100" w:type="dxa"/>
              <w:bottom w:w="80" w:type="dxa"/>
              <w:right w:w="100" w:type="dxa"/>
            </w:tcMar>
            <w:vAlign w:val="center"/>
          </w:tcPr>
          <w:p w14:paraId="1F3AF663" w14:textId="77777777" w:rsidR="00A440CF" w:rsidRDefault="00000000">
            <w:pPr>
              <w:jc w:val="center"/>
            </w:pPr>
            <w:r>
              <w:rPr>
                <w:sz w:val="20"/>
                <w:szCs w:val="20"/>
              </w:rPr>
              <w:t>$18,000</w:t>
            </w:r>
          </w:p>
        </w:tc>
        <w:tc>
          <w:tcPr>
            <w:tcW w:w="2200" w:type="dxa"/>
            <w:tcMar>
              <w:top w:w="80" w:type="dxa"/>
              <w:left w:w="100" w:type="dxa"/>
              <w:bottom w:w="80" w:type="dxa"/>
              <w:right w:w="100" w:type="dxa"/>
            </w:tcMar>
            <w:vAlign w:val="center"/>
          </w:tcPr>
          <w:p w14:paraId="340AF587" w14:textId="77777777" w:rsidR="00A440CF" w:rsidRDefault="00000000">
            <w:pPr>
              <w:jc w:val="center"/>
            </w:pPr>
            <w:r>
              <w:rPr>
                <w:sz w:val="20"/>
                <w:szCs w:val="20"/>
              </w:rPr>
              <w:t>24.0%</w:t>
            </w:r>
          </w:p>
        </w:tc>
      </w:tr>
      <w:tr w:rsidR="00A440CF" w14:paraId="38525708" w14:textId="77777777">
        <w:tblPrEx>
          <w:tblCellMar>
            <w:top w:w="0" w:type="dxa"/>
            <w:bottom w:w="0" w:type="dxa"/>
          </w:tblCellMar>
        </w:tblPrEx>
        <w:tc>
          <w:tcPr>
            <w:tcW w:w="4650" w:type="dxa"/>
            <w:shd w:val="clear" w:color="auto" w:fill="F3F2EF"/>
            <w:tcMar>
              <w:top w:w="80" w:type="dxa"/>
              <w:left w:w="100" w:type="dxa"/>
              <w:bottom w:w="80" w:type="dxa"/>
              <w:right w:w="100" w:type="dxa"/>
            </w:tcMar>
            <w:vAlign w:val="center"/>
          </w:tcPr>
          <w:p w14:paraId="1D47750B" w14:textId="77777777" w:rsidR="00A440CF" w:rsidRDefault="00000000">
            <w:r>
              <w:rPr>
                <w:sz w:val="20"/>
                <w:szCs w:val="20"/>
              </w:rPr>
              <w:t>Peer Support Facilitator Stipends</w:t>
            </w:r>
          </w:p>
        </w:tc>
        <w:tc>
          <w:tcPr>
            <w:tcW w:w="2500" w:type="dxa"/>
            <w:tcMar>
              <w:top w:w="80" w:type="dxa"/>
              <w:left w:w="100" w:type="dxa"/>
              <w:bottom w:w="80" w:type="dxa"/>
              <w:right w:w="100" w:type="dxa"/>
            </w:tcMar>
            <w:vAlign w:val="center"/>
          </w:tcPr>
          <w:p w14:paraId="5961EEED" w14:textId="77777777" w:rsidR="00A440CF" w:rsidRDefault="00000000">
            <w:pPr>
              <w:jc w:val="center"/>
            </w:pPr>
            <w:r>
              <w:rPr>
                <w:sz w:val="20"/>
                <w:szCs w:val="20"/>
              </w:rPr>
              <w:t>$8,000</w:t>
            </w:r>
          </w:p>
        </w:tc>
        <w:tc>
          <w:tcPr>
            <w:tcW w:w="2200" w:type="dxa"/>
            <w:shd w:val="clear" w:color="auto" w:fill="F3F2EF"/>
            <w:tcMar>
              <w:top w:w="80" w:type="dxa"/>
              <w:left w:w="100" w:type="dxa"/>
              <w:bottom w:w="80" w:type="dxa"/>
              <w:right w:w="100" w:type="dxa"/>
            </w:tcMar>
            <w:vAlign w:val="center"/>
          </w:tcPr>
          <w:p w14:paraId="1D17E253" w14:textId="77777777" w:rsidR="00A440CF" w:rsidRDefault="00000000">
            <w:pPr>
              <w:jc w:val="center"/>
            </w:pPr>
            <w:r>
              <w:rPr>
                <w:sz w:val="20"/>
                <w:szCs w:val="20"/>
              </w:rPr>
              <w:t>10.7%</w:t>
            </w:r>
          </w:p>
        </w:tc>
      </w:tr>
      <w:tr w:rsidR="00A440CF" w14:paraId="15E1984E" w14:textId="77777777">
        <w:tblPrEx>
          <w:tblCellMar>
            <w:top w:w="0" w:type="dxa"/>
            <w:bottom w:w="0" w:type="dxa"/>
          </w:tblCellMar>
        </w:tblPrEx>
        <w:tc>
          <w:tcPr>
            <w:tcW w:w="4650" w:type="dxa"/>
            <w:tcMar>
              <w:top w:w="80" w:type="dxa"/>
              <w:left w:w="100" w:type="dxa"/>
              <w:bottom w:w="80" w:type="dxa"/>
              <w:right w:w="100" w:type="dxa"/>
            </w:tcMar>
            <w:vAlign w:val="center"/>
          </w:tcPr>
          <w:p w14:paraId="49E18F52" w14:textId="77777777" w:rsidR="00A440CF" w:rsidRDefault="00000000">
            <w:r>
              <w:rPr>
                <w:sz w:val="20"/>
                <w:szCs w:val="20"/>
              </w:rPr>
              <w:t>Outreach Materials &amp; Translation</w:t>
            </w:r>
          </w:p>
        </w:tc>
        <w:tc>
          <w:tcPr>
            <w:tcW w:w="2500" w:type="dxa"/>
            <w:tcMar>
              <w:top w:w="80" w:type="dxa"/>
              <w:left w:w="100" w:type="dxa"/>
              <w:bottom w:w="80" w:type="dxa"/>
              <w:right w:w="100" w:type="dxa"/>
            </w:tcMar>
            <w:vAlign w:val="center"/>
          </w:tcPr>
          <w:p w14:paraId="6D440637" w14:textId="77777777" w:rsidR="00A440CF" w:rsidRDefault="00000000">
            <w:pPr>
              <w:jc w:val="center"/>
            </w:pPr>
            <w:r>
              <w:rPr>
                <w:sz w:val="20"/>
                <w:szCs w:val="20"/>
              </w:rPr>
              <w:t>$4,000</w:t>
            </w:r>
          </w:p>
        </w:tc>
        <w:tc>
          <w:tcPr>
            <w:tcW w:w="2200" w:type="dxa"/>
            <w:tcMar>
              <w:top w:w="80" w:type="dxa"/>
              <w:left w:w="100" w:type="dxa"/>
              <w:bottom w:w="80" w:type="dxa"/>
              <w:right w:w="100" w:type="dxa"/>
            </w:tcMar>
            <w:vAlign w:val="center"/>
          </w:tcPr>
          <w:p w14:paraId="65AF6C7B" w14:textId="77777777" w:rsidR="00A440CF" w:rsidRDefault="00000000">
            <w:pPr>
              <w:jc w:val="center"/>
            </w:pPr>
            <w:r>
              <w:rPr>
                <w:sz w:val="20"/>
                <w:szCs w:val="20"/>
              </w:rPr>
              <w:t>5.3%</w:t>
            </w:r>
          </w:p>
        </w:tc>
      </w:tr>
      <w:tr w:rsidR="00A440CF" w14:paraId="73618382" w14:textId="77777777">
        <w:tblPrEx>
          <w:tblCellMar>
            <w:top w:w="0" w:type="dxa"/>
            <w:bottom w:w="0" w:type="dxa"/>
          </w:tblCellMar>
        </w:tblPrEx>
        <w:tc>
          <w:tcPr>
            <w:tcW w:w="4650" w:type="dxa"/>
            <w:shd w:val="clear" w:color="auto" w:fill="F3F2EF"/>
            <w:tcMar>
              <w:top w:w="80" w:type="dxa"/>
              <w:left w:w="100" w:type="dxa"/>
              <w:bottom w:w="80" w:type="dxa"/>
              <w:right w:w="100" w:type="dxa"/>
            </w:tcMar>
            <w:vAlign w:val="center"/>
          </w:tcPr>
          <w:p w14:paraId="0A9CB837" w14:textId="77777777" w:rsidR="00A440CF" w:rsidRDefault="00000000">
            <w:r>
              <w:rPr>
                <w:sz w:val="20"/>
                <w:szCs w:val="20"/>
              </w:rPr>
              <w:t>Program Evaluation &amp; Data Systems</w:t>
            </w:r>
          </w:p>
        </w:tc>
        <w:tc>
          <w:tcPr>
            <w:tcW w:w="2500" w:type="dxa"/>
            <w:tcMar>
              <w:top w:w="80" w:type="dxa"/>
              <w:left w:w="100" w:type="dxa"/>
              <w:bottom w:w="80" w:type="dxa"/>
              <w:right w:w="100" w:type="dxa"/>
            </w:tcMar>
            <w:vAlign w:val="center"/>
          </w:tcPr>
          <w:p w14:paraId="3953BB38" w14:textId="77777777" w:rsidR="00A440CF" w:rsidRDefault="00000000">
            <w:pPr>
              <w:jc w:val="center"/>
            </w:pPr>
            <w:r>
              <w:rPr>
                <w:sz w:val="20"/>
                <w:szCs w:val="20"/>
              </w:rPr>
              <w:t>$4,500</w:t>
            </w:r>
          </w:p>
        </w:tc>
        <w:tc>
          <w:tcPr>
            <w:tcW w:w="2200" w:type="dxa"/>
            <w:shd w:val="clear" w:color="auto" w:fill="F3F2EF"/>
            <w:tcMar>
              <w:top w:w="80" w:type="dxa"/>
              <w:left w:w="100" w:type="dxa"/>
              <w:bottom w:w="80" w:type="dxa"/>
              <w:right w:w="100" w:type="dxa"/>
            </w:tcMar>
            <w:vAlign w:val="center"/>
          </w:tcPr>
          <w:p w14:paraId="5C4237BF" w14:textId="77777777" w:rsidR="00A440CF" w:rsidRDefault="00000000">
            <w:pPr>
              <w:jc w:val="center"/>
            </w:pPr>
            <w:r>
              <w:rPr>
                <w:sz w:val="20"/>
                <w:szCs w:val="20"/>
              </w:rPr>
              <w:t>6.0%</w:t>
            </w:r>
          </w:p>
        </w:tc>
      </w:tr>
      <w:tr w:rsidR="00A440CF" w14:paraId="41A2DAFA" w14:textId="77777777">
        <w:tblPrEx>
          <w:tblCellMar>
            <w:top w:w="0" w:type="dxa"/>
            <w:bottom w:w="0" w:type="dxa"/>
          </w:tblCellMar>
        </w:tblPrEx>
        <w:tc>
          <w:tcPr>
            <w:tcW w:w="4650" w:type="dxa"/>
            <w:tcMar>
              <w:top w:w="80" w:type="dxa"/>
              <w:left w:w="100" w:type="dxa"/>
              <w:bottom w:w="80" w:type="dxa"/>
              <w:right w:w="100" w:type="dxa"/>
            </w:tcMar>
            <w:vAlign w:val="center"/>
          </w:tcPr>
          <w:p w14:paraId="7EFF0C5B" w14:textId="77777777" w:rsidR="00A440CF" w:rsidRDefault="00000000">
            <w:r>
              <w:rPr>
                <w:sz w:val="20"/>
                <w:szCs w:val="20"/>
              </w:rPr>
              <w:lastRenderedPageBreak/>
              <w:t>Administrative &amp; Indirect Costs</w:t>
            </w:r>
          </w:p>
        </w:tc>
        <w:tc>
          <w:tcPr>
            <w:tcW w:w="2500" w:type="dxa"/>
            <w:tcMar>
              <w:top w:w="80" w:type="dxa"/>
              <w:left w:w="100" w:type="dxa"/>
              <w:bottom w:w="80" w:type="dxa"/>
              <w:right w:w="100" w:type="dxa"/>
            </w:tcMar>
            <w:vAlign w:val="center"/>
          </w:tcPr>
          <w:p w14:paraId="198A0243" w14:textId="77777777" w:rsidR="00A440CF" w:rsidRDefault="00000000">
            <w:pPr>
              <w:jc w:val="center"/>
            </w:pPr>
            <w:r>
              <w:rPr>
                <w:sz w:val="20"/>
                <w:szCs w:val="20"/>
              </w:rPr>
              <w:t>$2,500</w:t>
            </w:r>
          </w:p>
        </w:tc>
        <w:tc>
          <w:tcPr>
            <w:tcW w:w="2200" w:type="dxa"/>
            <w:tcMar>
              <w:top w:w="80" w:type="dxa"/>
              <w:left w:w="100" w:type="dxa"/>
              <w:bottom w:w="80" w:type="dxa"/>
              <w:right w:w="100" w:type="dxa"/>
            </w:tcMar>
            <w:vAlign w:val="center"/>
          </w:tcPr>
          <w:p w14:paraId="5E8579E9" w14:textId="77777777" w:rsidR="00A440CF" w:rsidRDefault="00000000">
            <w:pPr>
              <w:jc w:val="center"/>
            </w:pPr>
            <w:r>
              <w:rPr>
                <w:sz w:val="20"/>
                <w:szCs w:val="20"/>
              </w:rPr>
              <w:t>3.3%</w:t>
            </w:r>
          </w:p>
        </w:tc>
      </w:tr>
      <w:tr w:rsidR="00A440CF" w14:paraId="4F26AEDF" w14:textId="77777777">
        <w:tblPrEx>
          <w:tblCellMar>
            <w:top w:w="0" w:type="dxa"/>
            <w:bottom w:w="0" w:type="dxa"/>
          </w:tblCellMar>
        </w:tblPrEx>
        <w:tc>
          <w:tcPr>
            <w:tcW w:w="4650" w:type="dxa"/>
            <w:shd w:val="clear" w:color="auto" w:fill="B98F45"/>
            <w:tcMar>
              <w:top w:w="80" w:type="dxa"/>
              <w:left w:w="100" w:type="dxa"/>
              <w:bottom w:w="80" w:type="dxa"/>
              <w:right w:w="100" w:type="dxa"/>
            </w:tcMar>
            <w:vAlign w:val="center"/>
          </w:tcPr>
          <w:p w14:paraId="1FB781EA" w14:textId="77777777" w:rsidR="00A440CF" w:rsidRDefault="00000000">
            <w:r>
              <w:rPr>
                <w:b/>
                <w:bCs/>
                <w:sz w:val="20"/>
                <w:szCs w:val="20"/>
              </w:rPr>
              <w:t>Total Request</w:t>
            </w:r>
          </w:p>
        </w:tc>
        <w:tc>
          <w:tcPr>
            <w:tcW w:w="2500" w:type="dxa"/>
            <w:shd w:val="clear" w:color="auto" w:fill="B98F45"/>
            <w:tcMar>
              <w:top w:w="80" w:type="dxa"/>
              <w:left w:w="100" w:type="dxa"/>
              <w:bottom w:w="80" w:type="dxa"/>
              <w:right w:w="100" w:type="dxa"/>
            </w:tcMar>
            <w:vAlign w:val="center"/>
          </w:tcPr>
          <w:p w14:paraId="5DFFA05C" w14:textId="77777777" w:rsidR="00A440CF" w:rsidRDefault="00000000">
            <w:pPr>
              <w:jc w:val="center"/>
            </w:pPr>
            <w:r>
              <w:rPr>
                <w:b/>
                <w:bCs/>
                <w:sz w:val="20"/>
                <w:szCs w:val="20"/>
              </w:rPr>
              <w:t>$75,000</w:t>
            </w:r>
          </w:p>
        </w:tc>
        <w:tc>
          <w:tcPr>
            <w:tcW w:w="2200" w:type="dxa"/>
            <w:shd w:val="clear" w:color="auto" w:fill="B98F45"/>
            <w:tcMar>
              <w:top w:w="80" w:type="dxa"/>
              <w:left w:w="100" w:type="dxa"/>
              <w:bottom w:w="80" w:type="dxa"/>
              <w:right w:w="100" w:type="dxa"/>
            </w:tcMar>
            <w:vAlign w:val="center"/>
          </w:tcPr>
          <w:p w14:paraId="32B7C5A9" w14:textId="77777777" w:rsidR="00A440CF" w:rsidRDefault="00000000">
            <w:pPr>
              <w:jc w:val="center"/>
            </w:pPr>
            <w:r>
              <w:rPr>
                <w:b/>
                <w:bCs/>
                <w:sz w:val="20"/>
                <w:szCs w:val="20"/>
              </w:rPr>
              <w:t>100%</w:t>
            </w:r>
          </w:p>
        </w:tc>
      </w:tr>
    </w:tbl>
    <w:p w14:paraId="1A0F8FFC" w14:textId="77777777" w:rsidR="00A440CF" w:rsidRDefault="00A440CF">
      <w:pPr>
        <w:spacing w:before="240"/>
      </w:pPr>
    </w:p>
    <w:p w14:paraId="62136A65" w14:textId="77777777" w:rsidR="00A440CF" w:rsidRDefault="00000000">
      <w:pPr>
        <w:spacing w:before="200" w:after="100"/>
      </w:pPr>
      <w:r>
        <w:rPr>
          <w:rFonts w:ascii="Montserrat" w:eastAsia="Montserrat" w:hAnsi="Montserrat" w:cs="Montserrat"/>
          <w:b/>
          <w:bCs/>
          <w:color w:val="1B2A41"/>
          <w:sz w:val="21"/>
          <w:szCs w:val="21"/>
        </w:rPr>
        <w:t>14.1 Personnel</w:t>
      </w:r>
    </w:p>
    <w:p w14:paraId="1DE59935" w14:textId="77777777" w:rsidR="00A440CF" w:rsidRDefault="00000000">
      <w:pPr>
        <w:spacing w:after="160" w:line="276" w:lineRule="auto"/>
        <w:jc w:val="both"/>
      </w:pPr>
      <w:r>
        <w:t>The largest share of the budget, $38,000, supports salaries for two community health workers who will conduct outreach, intake, and case coordination throughout the grant period. An additional $8,000 supports stipends for trained peer support group facilitators.</w:t>
      </w:r>
    </w:p>
    <w:p w14:paraId="0C334B0B" w14:textId="77777777" w:rsidR="00A440CF" w:rsidRDefault="00000000">
      <w:pPr>
        <w:spacing w:before="200" w:after="100"/>
      </w:pPr>
      <w:r>
        <w:rPr>
          <w:rFonts w:ascii="Montserrat" w:eastAsia="Montserrat" w:hAnsi="Montserrat" w:cs="Montserrat"/>
          <w:b/>
          <w:bCs/>
          <w:color w:val="1B2A41"/>
          <w:sz w:val="21"/>
          <w:szCs w:val="21"/>
        </w:rPr>
        <w:t>14.2 Clinical Services</w:t>
      </w:r>
    </w:p>
    <w:p w14:paraId="26D28EBC" w14:textId="77777777" w:rsidR="00A440CF" w:rsidRDefault="00000000">
      <w:pPr>
        <w:spacing w:after="160" w:line="276" w:lineRule="auto"/>
        <w:jc w:val="both"/>
      </w:pPr>
      <w:r>
        <w:t>$18,000 is allocated to CWI's clinical partnership arrangement, subsidizing short-term counseling sessions for participants who could not otherwise afford care.</w:t>
      </w:r>
    </w:p>
    <w:p w14:paraId="76BA7C70" w14:textId="77777777" w:rsidR="00A440CF" w:rsidRDefault="00000000">
      <w:pPr>
        <w:spacing w:before="200" w:after="100"/>
      </w:pPr>
      <w:r>
        <w:rPr>
          <w:rFonts w:ascii="Montserrat" w:eastAsia="Montserrat" w:hAnsi="Montserrat" w:cs="Montserrat"/>
          <w:b/>
          <w:bCs/>
          <w:color w:val="1B2A41"/>
          <w:sz w:val="21"/>
          <w:szCs w:val="21"/>
        </w:rPr>
        <w:t>14.3 Materials, Evaluation, and Administration</w:t>
      </w:r>
    </w:p>
    <w:p w14:paraId="6B44D317" w14:textId="77777777" w:rsidR="00A440CF" w:rsidRDefault="00000000">
      <w:pPr>
        <w:spacing w:after="160" w:line="276" w:lineRule="auto"/>
        <w:jc w:val="both"/>
      </w:pPr>
      <w:r>
        <w:t>The remaining funds cover outreach materials and translation ($4,000), program evaluation and data systems ($4,500), and administrative and indirect costs ($2,500), which together represent approximately 15% of the total request.</w:t>
      </w:r>
    </w:p>
    <w:p w14:paraId="4A6303AE" w14:textId="77777777" w:rsidR="00A440CF" w:rsidRDefault="00000000">
      <w:pPr>
        <w:pStyle w:val="Heading1"/>
        <w:pBdr>
          <w:bottom w:val="single" w:sz="8" w:space="4" w:color="B98F45"/>
        </w:pBdr>
        <w:spacing w:before="400" w:after="200"/>
      </w:pPr>
      <w:r>
        <w:t>15. Conclusion</w:t>
      </w:r>
    </w:p>
    <w:p w14:paraId="5390FA75" w14:textId="77777777" w:rsidR="00A440CF" w:rsidRDefault="00000000">
      <w:pPr>
        <w:spacing w:after="160" w:line="276" w:lineRule="auto"/>
        <w:jc w:val="both"/>
      </w:pPr>
      <w:r>
        <w:t>The Community Mental Health Access Initiative offers Ashford County a practical, community-rooted response to a well-documented gap in mental health access. Community Wellness Initiative's existing infrastructure, community trust, and programmatic experience position it to implement this initiative efficiently and to sustain its core components well beyond the 12-month grant period.</w:t>
      </w:r>
    </w:p>
    <w:p w14:paraId="7BE548F2" w14:textId="77777777" w:rsidR="00A440CF" w:rsidRDefault="00000000">
      <w:pPr>
        <w:spacing w:after="160" w:line="276" w:lineRule="auto"/>
        <w:jc w:val="both"/>
      </w:pPr>
      <w:r>
        <w:t>A $75,000 investment will enable CWI to reach approximately 250 underserved adults with meaningful, accessible mental health support, while building lasting referral infrastructure for the broader community. We appreciate your consideration of this proposal and welcome the opportunity to provide any additional information that would be helpful in your review.</w:t>
      </w:r>
    </w:p>
    <w:p w14:paraId="262C6214" w14:textId="77777777" w:rsidR="00A440CF" w:rsidRDefault="00000000">
      <w:pPr>
        <w:pStyle w:val="Heading1"/>
        <w:pBdr>
          <w:bottom w:val="single" w:sz="8" w:space="4" w:color="B98F45"/>
        </w:pBdr>
        <w:spacing w:before="400" w:after="200"/>
      </w:pPr>
      <w:r>
        <w:t>16. References</w:t>
      </w:r>
    </w:p>
    <w:p w14:paraId="0FBB5DFA" w14:textId="77777777" w:rsidR="00A440CF" w:rsidRDefault="00000000">
      <w:pPr>
        <w:spacing w:after="160" w:line="276" w:lineRule="auto"/>
        <w:jc w:val="both"/>
      </w:pPr>
      <w:r>
        <w:t>The following illustrative references represent the types of sources typically cited in a proposal of this kind. As noted in the Portfolio Sample Disclosure, this document is a fictional demonstration piece, and the citations below are included to illustrate formatting and evidence integration rather than to assert specific verified findings.</w:t>
      </w:r>
    </w:p>
    <w:p w14:paraId="221108F4" w14:textId="77777777" w:rsidR="00A440CF" w:rsidRDefault="00000000">
      <w:pPr>
        <w:pStyle w:val="ListParagraph"/>
        <w:numPr>
          <w:ilvl w:val="0"/>
          <w:numId w:val="2"/>
        </w:numPr>
        <w:spacing w:after="90"/>
      </w:pPr>
      <w:r>
        <w:t>[Illustrative] County or state department of behavioral health — regional mental health needs assessment.</w:t>
      </w:r>
    </w:p>
    <w:p w14:paraId="029136E9" w14:textId="77777777" w:rsidR="00A440CF" w:rsidRDefault="00000000">
      <w:pPr>
        <w:pStyle w:val="ListParagraph"/>
        <w:numPr>
          <w:ilvl w:val="0"/>
          <w:numId w:val="2"/>
        </w:numPr>
        <w:spacing w:after="90"/>
      </w:pPr>
      <w:r>
        <w:t>[Illustrative] Peer-reviewed literature on barriers to mental health service access among low-income adults.</w:t>
      </w:r>
    </w:p>
    <w:p w14:paraId="17F439F3" w14:textId="77777777" w:rsidR="00A440CF" w:rsidRDefault="00000000">
      <w:pPr>
        <w:pStyle w:val="ListParagraph"/>
        <w:numPr>
          <w:ilvl w:val="0"/>
          <w:numId w:val="2"/>
        </w:numPr>
        <w:spacing w:after="90"/>
      </w:pPr>
      <w:r>
        <w:t>[Illustrative] National survey data on unmet mental health need and service utilization.</w:t>
      </w:r>
    </w:p>
    <w:p w14:paraId="0F5FE6B1" w14:textId="77777777" w:rsidR="00A440CF" w:rsidRDefault="00000000">
      <w:pPr>
        <w:pStyle w:val="ListParagraph"/>
        <w:numPr>
          <w:ilvl w:val="0"/>
          <w:numId w:val="2"/>
        </w:numPr>
        <w:spacing w:after="90"/>
      </w:pPr>
      <w:r>
        <w:t>[Illustrative] Prior CWI program data and internal community health liaison records.</w:t>
      </w:r>
    </w:p>
    <w:p w14:paraId="6D21BC63" w14:textId="77777777" w:rsidR="00A440CF" w:rsidRDefault="00000000">
      <w:pPr>
        <w:pStyle w:val="ListParagraph"/>
        <w:numPr>
          <w:ilvl w:val="0"/>
          <w:numId w:val="2"/>
        </w:numPr>
        <w:spacing w:after="90"/>
      </w:pPr>
      <w:r>
        <w:lastRenderedPageBreak/>
        <w:t>[Illustrative] Published program evaluation frameworks for community-based mental health interventions.</w:t>
      </w:r>
    </w:p>
    <w:sectPr w:rsidR="00A440CF">
      <w:headerReference w:type="default" r:id="rId7"/>
      <w:footerReference w:type="default" r:id="rId8"/>
      <w:pgSz w:w="12240" w:h="15840"/>
      <w:pgMar w:top="1080" w:right="1260" w:bottom="1080" w:left="126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73F96" w14:textId="77777777" w:rsidR="00C51B5C" w:rsidRDefault="00C51B5C">
      <w:r>
        <w:separator/>
      </w:r>
    </w:p>
  </w:endnote>
  <w:endnote w:type="continuationSeparator" w:id="0">
    <w:p w14:paraId="7514771D" w14:textId="77777777" w:rsidR="00C51B5C" w:rsidRDefault="00C51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Inter">
    <w:altName w:val="Cambria"/>
    <w:panose1 w:val="00000000000000000000"/>
    <w:charset w:val="00"/>
    <w:family w:val="roman"/>
    <w:notTrueType/>
    <w:pitch w:val="default"/>
  </w:font>
  <w:font w:name="Montserrat">
    <w:charset w:val="00"/>
    <w:family w:val="auto"/>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6C41D" w14:textId="77777777" w:rsidR="00A440CF" w:rsidRDefault="00000000">
    <w:pPr>
      <w:pBdr>
        <w:top w:val="single" w:sz="6" w:space="4" w:color="B98F45"/>
      </w:pBdr>
      <w:tabs>
        <w:tab w:val="right" w:pos="9026"/>
      </w:tabs>
    </w:pPr>
    <w:r>
      <w:rPr>
        <w:color w:val="6E6E6E"/>
        <w:sz w:val="16"/>
        <w:szCs w:val="16"/>
      </w:rPr>
      <w:t>Aspire Research &amp; Consulting  |  Research. Funding. Impact.</w:t>
    </w:r>
    <w:r>
      <w:rPr>
        <w:sz w:val="16"/>
        <w:szCs w:val="16"/>
      </w:rPr>
      <w:tab/>
    </w:r>
    <w:r>
      <w:rPr>
        <w:color w:val="6E6E6E"/>
        <w:sz w:val="16"/>
        <w:szCs w:val="16"/>
      </w:rPr>
      <w:t xml:space="preserve">Page </w:t>
    </w:r>
    <w:r>
      <w:rPr>
        <w:color w:val="6E6E6E"/>
        <w:sz w:val="16"/>
        <w:szCs w:val="16"/>
      </w:rPr>
      <w:fldChar w:fldCharType="begin"/>
    </w:r>
    <w:r>
      <w:rPr>
        <w:color w:val="6E6E6E"/>
        <w:sz w:val="16"/>
        <w:szCs w:val="16"/>
      </w:rPr>
      <w:instrText>PAGE</w:instrText>
    </w:r>
    <w:r>
      <w:rPr>
        <w:color w:val="6E6E6E"/>
        <w:sz w:val="16"/>
        <w:szCs w:val="16"/>
      </w:rPr>
      <w:fldChar w:fldCharType="separate"/>
    </w:r>
    <w:r w:rsidR="00DD7F5D">
      <w:rPr>
        <w:noProof/>
        <w:color w:val="6E6E6E"/>
        <w:sz w:val="16"/>
        <w:szCs w:val="16"/>
      </w:rPr>
      <w:t>3</w:t>
    </w:r>
    <w:r>
      <w:rPr>
        <w:color w:val="6E6E6E"/>
        <w:sz w:val="16"/>
        <w:szCs w:val="16"/>
      </w:rPr>
      <w:fldChar w:fldCharType="end"/>
    </w:r>
    <w:r>
      <w:rPr>
        <w:color w:val="6E6E6E"/>
        <w:sz w:val="16"/>
        <w:szCs w:val="16"/>
      </w:rPr>
      <w:t xml:space="preserve"> of </w:t>
    </w:r>
    <w:r>
      <w:rPr>
        <w:color w:val="6E6E6E"/>
        <w:sz w:val="16"/>
        <w:szCs w:val="16"/>
      </w:rPr>
      <w:fldChar w:fldCharType="begin"/>
    </w:r>
    <w:r>
      <w:rPr>
        <w:color w:val="6E6E6E"/>
        <w:sz w:val="16"/>
        <w:szCs w:val="16"/>
      </w:rPr>
      <w:instrText>NUMPAGES</w:instrText>
    </w:r>
    <w:r>
      <w:rPr>
        <w:color w:val="6E6E6E"/>
        <w:sz w:val="16"/>
        <w:szCs w:val="16"/>
      </w:rPr>
      <w:fldChar w:fldCharType="separate"/>
    </w:r>
    <w:r w:rsidR="00DD7F5D">
      <w:rPr>
        <w:noProof/>
        <w:color w:val="6E6E6E"/>
        <w:sz w:val="16"/>
        <w:szCs w:val="16"/>
      </w:rPr>
      <w:t>4</w:t>
    </w:r>
    <w:r>
      <w:rPr>
        <w:color w:val="6E6E6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1C375" w14:textId="77777777" w:rsidR="00C51B5C" w:rsidRDefault="00C51B5C">
      <w:r>
        <w:separator/>
      </w:r>
    </w:p>
  </w:footnote>
  <w:footnote w:type="continuationSeparator" w:id="0">
    <w:p w14:paraId="12E37348" w14:textId="77777777" w:rsidR="00C51B5C" w:rsidRDefault="00C51B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EAA6E" w14:textId="77777777" w:rsidR="00A440CF" w:rsidRDefault="00000000">
    <w:pPr>
      <w:pBdr>
        <w:bottom w:val="single" w:sz="6" w:space="4" w:color="B98F45"/>
      </w:pBdr>
      <w:jc w:val="right"/>
    </w:pPr>
    <w:r>
      <w:rPr>
        <w:rFonts w:ascii="Montserrat" w:eastAsia="Montserrat" w:hAnsi="Montserrat" w:cs="Montserrat"/>
        <w:b/>
        <w:bCs/>
        <w:color w:val="1B2A41"/>
        <w:spacing w:val="10"/>
        <w:sz w:val="16"/>
        <w:szCs w:val="16"/>
      </w:rPr>
      <w:t>ASPIRE RESEARCH &amp; CONSULTING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B3CE9"/>
    <w:multiLevelType w:val="hybridMultilevel"/>
    <w:tmpl w:val="DA684038"/>
    <w:lvl w:ilvl="0" w:tplc="F06C0400">
      <w:start w:val="1"/>
      <w:numFmt w:val="bullet"/>
      <w:lvlText w:val="●"/>
      <w:lvlJc w:val="left"/>
      <w:pPr>
        <w:ind w:left="720" w:hanging="360"/>
      </w:pPr>
    </w:lvl>
    <w:lvl w:ilvl="1" w:tplc="B57E4C8E">
      <w:start w:val="1"/>
      <w:numFmt w:val="bullet"/>
      <w:lvlText w:val="○"/>
      <w:lvlJc w:val="left"/>
      <w:pPr>
        <w:ind w:left="1440" w:hanging="360"/>
      </w:pPr>
    </w:lvl>
    <w:lvl w:ilvl="2" w:tplc="40C40618">
      <w:start w:val="1"/>
      <w:numFmt w:val="bullet"/>
      <w:lvlText w:val="■"/>
      <w:lvlJc w:val="left"/>
      <w:pPr>
        <w:ind w:left="2160" w:hanging="360"/>
      </w:pPr>
    </w:lvl>
    <w:lvl w:ilvl="3" w:tplc="203E4514">
      <w:start w:val="1"/>
      <w:numFmt w:val="bullet"/>
      <w:lvlText w:val="●"/>
      <w:lvlJc w:val="left"/>
      <w:pPr>
        <w:ind w:left="2880" w:hanging="360"/>
      </w:pPr>
    </w:lvl>
    <w:lvl w:ilvl="4" w:tplc="A6A47ADA">
      <w:start w:val="1"/>
      <w:numFmt w:val="bullet"/>
      <w:lvlText w:val="○"/>
      <w:lvlJc w:val="left"/>
      <w:pPr>
        <w:ind w:left="3600" w:hanging="360"/>
      </w:pPr>
    </w:lvl>
    <w:lvl w:ilvl="5" w:tplc="A1E201A2">
      <w:start w:val="1"/>
      <w:numFmt w:val="bullet"/>
      <w:lvlText w:val="■"/>
      <w:lvlJc w:val="left"/>
      <w:pPr>
        <w:ind w:left="4320" w:hanging="360"/>
      </w:pPr>
    </w:lvl>
    <w:lvl w:ilvl="6" w:tplc="1CB21D2C">
      <w:start w:val="1"/>
      <w:numFmt w:val="bullet"/>
      <w:lvlText w:val="●"/>
      <w:lvlJc w:val="left"/>
      <w:pPr>
        <w:ind w:left="5040" w:hanging="360"/>
      </w:pPr>
    </w:lvl>
    <w:lvl w:ilvl="7" w:tplc="AC4A4614">
      <w:start w:val="1"/>
      <w:numFmt w:val="bullet"/>
      <w:lvlText w:val="●"/>
      <w:lvlJc w:val="left"/>
      <w:pPr>
        <w:ind w:left="5760" w:hanging="360"/>
      </w:pPr>
    </w:lvl>
    <w:lvl w:ilvl="8" w:tplc="FC12E166">
      <w:start w:val="1"/>
      <w:numFmt w:val="bullet"/>
      <w:lvlText w:val="●"/>
      <w:lvlJc w:val="left"/>
      <w:pPr>
        <w:ind w:left="6480" w:hanging="360"/>
      </w:pPr>
    </w:lvl>
  </w:abstractNum>
  <w:abstractNum w:abstractNumId="1" w15:restartNumberingAfterBreak="0">
    <w:nsid w:val="12DA6DDB"/>
    <w:multiLevelType w:val="hybridMultilevel"/>
    <w:tmpl w:val="938611D6"/>
    <w:lvl w:ilvl="0" w:tplc="92822198">
      <w:start w:val="1"/>
      <w:numFmt w:val="bullet"/>
      <w:lvlText w:val="•"/>
      <w:lvlJc w:val="left"/>
      <w:pPr>
        <w:ind w:left="460" w:hanging="260"/>
      </w:pPr>
    </w:lvl>
    <w:lvl w:ilvl="1" w:tplc="3A3A5120">
      <w:numFmt w:val="decimal"/>
      <w:lvlText w:val=""/>
      <w:lvlJc w:val="left"/>
    </w:lvl>
    <w:lvl w:ilvl="2" w:tplc="B1488F42">
      <w:numFmt w:val="decimal"/>
      <w:lvlText w:val=""/>
      <w:lvlJc w:val="left"/>
    </w:lvl>
    <w:lvl w:ilvl="3" w:tplc="59B83EF4">
      <w:numFmt w:val="decimal"/>
      <w:lvlText w:val=""/>
      <w:lvlJc w:val="left"/>
    </w:lvl>
    <w:lvl w:ilvl="4" w:tplc="AB3005BC">
      <w:numFmt w:val="decimal"/>
      <w:lvlText w:val=""/>
      <w:lvlJc w:val="left"/>
    </w:lvl>
    <w:lvl w:ilvl="5" w:tplc="4BE27088">
      <w:numFmt w:val="decimal"/>
      <w:lvlText w:val=""/>
      <w:lvlJc w:val="left"/>
    </w:lvl>
    <w:lvl w:ilvl="6" w:tplc="725E1DFA">
      <w:numFmt w:val="decimal"/>
      <w:lvlText w:val=""/>
      <w:lvlJc w:val="left"/>
    </w:lvl>
    <w:lvl w:ilvl="7" w:tplc="6D1677B0">
      <w:numFmt w:val="decimal"/>
      <w:lvlText w:val=""/>
      <w:lvlJc w:val="left"/>
    </w:lvl>
    <w:lvl w:ilvl="8" w:tplc="3300E658">
      <w:numFmt w:val="decimal"/>
      <w:lvlText w:val=""/>
      <w:lvlJc w:val="left"/>
    </w:lvl>
  </w:abstractNum>
  <w:num w:numId="1" w16cid:durableId="890194327">
    <w:abstractNumId w:val="0"/>
    <w:lvlOverride w:ilvl="0">
      <w:startOverride w:val="1"/>
    </w:lvlOverride>
  </w:num>
  <w:num w:numId="2" w16cid:durableId="43767581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0CF"/>
    <w:rsid w:val="00A440CF"/>
    <w:rsid w:val="00C51B5C"/>
    <w:rsid w:val="00DD7F5D"/>
    <w:rsid w:val="00F804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F4934"/>
  <w15:docId w15:val="{8C6C8197-AF73-4BC3-9150-4DD01B78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Inter" w:eastAsia="Inter" w:hAnsi="Inter" w:cs="Inter"/>
        <w:color w:val="222222"/>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rFonts w:ascii="Montserrat" w:eastAsia="Montserrat" w:hAnsi="Montserrat" w:cs="Montserrat"/>
      <w:b/>
      <w:bCs/>
      <w:color w:val="1B2A41"/>
      <w:sz w:val="30"/>
      <w:szCs w:val="30"/>
    </w:rPr>
  </w:style>
  <w:style w:type="paragraph" w:styleId="Heading2">
    <w:name w:val="heading 2"/>
    <w:uiPriority w:val="9"/>
    <w:semiHidden/>
    <w:unhideWhenUsed/>
    <w:qFormat/>
    <w:pPr>
      <w:outlineLvl w:val="1"/>
    </w:pPr>
    <w:rPr>
      <w:rFonts w:ascii="Montserrat" w:eastAsia="Montserrat" w:hAnsi="Montserrat" w:cs="Montserrat"/>
      <w:b/>
      <w:bCs/>
      <w:color w:val="2F4A3D"/>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3304</Words>
  <Characters>18837</Characters>
  <Application>Microsoft Office Word</Application>
  <DocSecurity>0</DocSecurity>
  <Lines>156</Lines>
  <Paragraphs>44</Paragraphs>
  <ScaleCrop>false</ScaleCrop>
  <Company/>
  <LinksUpToDate>false</LinksUpToDate>
  <CharactersWithSpaces>22097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HomePC</cp:lastModifiedBy>
  <cp:revision>2</cp:revision>
  <dcterms:created xsi:type="dcterms:W3CDTF">2026-08-16T06:47:00Z</dcterms:created>
  <dcterms:modified xsi:type="dcterms:W3CDTF">2026-08-16T06:47:00Z</dcterms:modified>
</cp:coreProperties>
</file>