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0C7E18" w14:textId="77777777" w:rsidR="00043504" w:rsidRDefault="00043504">
      <w:pPr>
        <w:spacing w:before="2200"/>
      </w:pPr>
    </w:p>
    <w:p w14:paraId="444E4CCA" w14:textId="77777777" w:rsidR="00043504" w:rsidRDefault="00000000">
      <w:pPr>
        <w:jc w:val="center"/>
      </w:pPr>
      <w:r>
        <w:rPr>
          <w:rFonts w:ascii="Montserrat" w:eastAsia="Montserrat" w:hAnsi="Montserrat" w:cs="Montserrat"/>
          <w:b/>
          <w:bCs/>
          <w:color w:val="1B2A41"/>
          <w:spacing w:val="20"/>
          <w:sz w:val="30"/>
          <w:szCs w:val="30"/>
        </w:rPr>
        <w:t>ASPIRE RESEARCH &amp; CONSULTING</w:t>
      </w:r>
    </w:p>
    <w:p w14:paraId="0AE4B4B5" w14:textId="77777777" w:rsidR="00043504" w:rsidRDefault="00000000">
      <w:pPr>
        <w:spacing w:after="900"/>
        <w:jc w:val="center"/>
      </w:pPr>
      <w:r>
        <w:rPr>
          <w:i/>
          <w:iCs/>
          <w:color w:val="B98F45"/>
          <w:sz w:val="20"/>
          <w:szCs w:val="20"/>
        </w:rPr>
        <w:t>Research. Funding. Impact.</w:t>
      </w:r>
    </w:p>
    <w:p w14:paraId="02F536A2" w14:textId="77777777" w:rsidR="00043504" w:rsidRDefault="00000000">
      <w:pPr>
        <w:spacing w:before="800" w:after="200"/>
        <w:jc w:val="center"/>
      </w:pPr>
      <w:r>
        <w:rPr>
          <w:rFonts w:ascii="Montserrat" w:eastAsia="Montserrat" w:hAnsi="Montserrat" w:cs="Montserrat"/>
          <w:b/>
          <w:bCs/>
          <w:color w:val="1B2A41"/>
          <w:sz w:val="34"/>
          <w:szCs w:val="34"/>
        </w:rPr>
        <w:t>BARRIERS TO MENTAL HEALTH SERVICE ACCESS AMONG UNDERSERVED ADULTS</w:t>
      </w:r>
    </w:p>
    <w:p w14:paraId="143DA525" w14:textId="77777777" w:rsidR="00043504" w:rsidRDefault="00000000">
      <w:pPr>
        <w:spacing w:after="100"/>
        <w:jc w:val="center"/>
      </w:pPr>
      <w:r>
        <w:rPr>
          <w:color w:val="6E6E6E"/>
        </w:rPr>
        <w:t>A Research Report</w:t>
      </w:r>
    </w:p>
    <w:p w14:paraId="1BF52A14" w14:textId="77777777" w:rsidR="00043504" w:rsidRDefault="00000000">
      <w:pPr>
        <w:spacing w:after="700"/>
        <w:jc w:val="center"/>
      </w:pPr>
      <w:r>
        <w:rPr>
          <w:rFonts w:ascii="Montserrat" w:eastAsia="Montserrat" w:hAnsi="Montserrat" w:cs="Montserrat"/>
          <w:b/>
          <w:bCs/>
          <w:color w:val="2F4A3D"/>
          <w:sz w:val="24"/>
          <w:szCs w:val="24"/>
        </w:rPr>
        <w:t>Prepared by the Aspire Research &amp; Consulting Research Team</w:t>
      </w:r>
    </w:p>
    <w:p w14:paraId="275BFD23" w14:textId="77777777" w:rsidR="00043504" w:rsidRDefault="00000000">
      <w:pPr>
        <w:spacing w:after="60"/>
        <w:jc w:val="center"/>
      </w:pPr>
      <w:r>
        <w:rPr>
          <w:rFonts w:ascii="Montserrat" w:eastAsia="Montserrat" w:hAnsi="Montserrat" w:cs="Montserrat"/>
          <w:b/>
          <w:bCs/>
          <w:color w:val="B98F45"/>
          <w:spacing w:val="10"/>
          <w:sz w:val="20"/>
          <w:szCs w:val="20"/>
        </w:rPr>
        <w:t>PORTFOLIO SAMPLE — ILLUSTRATIVE DOCUMENT</w:t>
      </w:r>
    </w:p>
    <w:p w14:paraId="0F0AE037" w14:textId="77777777" w:rsidR="00043504" w:rsidRDefault="00000000">
      <w:pPr>
        <w:spacing w:after="1200"/>
        <w:jc w:val="center"/>
      </w:pPr>
      <w:r>
        <w:rPr>
          <w:color w:val="6E6E6E"/>
          <w:sz w:val="20"/>
          <w:szCs w:val="20"/>
        </w:rPr>
        <w:t>Evidence Synthesis • Research Methodology • Analysis &amp; Recommendations</w:t>
      </w:r>
    </w:p>
    <w:p w14:paraId="2F484FCF" w14:textId="77777777" w:rsidR="00043504" w:rsidRDefault="00000000">
      <w:pPr>
        <w:spacing w:before="2400"/>
        <w:jc w:val="center"/>
      </w:pPr>
      <w:r>
        <w:rPr>
          <w:color w:val="6E6E6E"/>
          <w:sz w:val="20"/>
          <w:szCs w:val="20"/>
        </w:rPr>
        <w:t>August 2026</w:t>
      </w:r>
    </w:p>
    <w:p w14:paraId="042A8A06" w14:textId="77777777" w:rsidR="00043504" w:rsidRDefault="00043504">
      <w:pPr>
        <w:sectPr w:rsidR="00043504">
          <w:pgSz w:w="12240" w:h="15840"/>
          <w:pgMar w:top="1080" w:right="1260" w:bottom="1080" w:left="1260" w:header="708" w:footer="708" w:gutter="0"/>
          <w:cols w:space="720"/>
          <w:docGrid w:linePitch="360"/>
        </w:sectPr>
      </w:pPr>
    </w:p>
    <w:p w14:paraId="6EFDC924" w14:textId="77777777" w:rsidR="00043504" w:rsidRDefault="00000000">
      <w:pPr>
        <w:pStyle w:val="Heading1"/>
        <w:pBdr>
          <w:bottom w:val="single" w:sz="8" w:space="4" w:color="B98F45"/>
        </w:pBdr>
        <w:spacing w:before="400" w:after="200"/>
      </w:pPr>
      <w:r>
        <w:lastRenderedPageBreak/>
        <w:t>Portfolio Sample Disclosure</w:t>
      </w:r>
    </w:p>
    <w:p w14:paraId="191A566D" w14:textId="77777777" w:rsidR="00043504" w:rsidRDefault="00000000">
      <w:pPr>
        <w:pBdr>
          <w:top w:val="single" w:sz="6" w:space="8" w:color="B98F45"/>
          <w:left w:val="single" w:sz="6" w:space="8" w:color="B98F45"/>
          <w:bottom w:val="single" w:sz="6" w:space="8" w:color="B98F45"/>
          <w:right w:val="single" w:sz="6" w:space="8" w:color="B98F45"/>
        </w:pBdr>
        <w:shd w:val="clear" w:color="auto" w:fill="F3F2EF"/>
        <w:spacing w:before="200" w:after="400"/>
      </w:pPr>
      <w:r>
        <w:rPr>
          <w:i/>
          <w:iCs/>
          <w:color w:val="1B2A41"/>
          <w:sz w:val="20"/>
          <w:szCs w:val="20"/>
        </w:rPr>
        <w:t>This document is an illustrative example created by Aspire Research &amp; Consulting to demonstrate research, evidence synthesis, and professional reporting capabilities. It is the third of five flagship portfolio samples, following the illustrative grant proposal and funder research report prepared for Community Wellness Initiative (CWI), a fictional nonprofit. The sources cited in this report are fictional composites created for demonstration purposes and do not represent real studies, journals, or data. This report should not be relied upon as a genuine evidence review; it illustrates the structure, depth, and citation practices Aspire applies when conducting real research for clients.</w:t>
      </w:r>
    </w:p>
    <w:p w14:paraId="22726040" w14:textId="77777777" w:rsidR="00043504" w:rsidRDefault="00000000">
      <w:pPr>
        <w:spacing w:after="160" w:line="276" w:lineRule="auto"/>
        <w:jc w:val="both"/>
      </w:pPr>
      <w:r>
        <w:t>Unlike Sample 1 and Sample 2, which were developed for a specific illustrative client (CWI) and a specific project (the Community Mental Health Access Initiative), this report is designed to stand on its own as a general research capability sample. It reflects the type of independent evidence review Aspire can produce for nonprofits, funders, coalitions, or research institutions seeking a rigorous, well-organized synthesis of a topic relevant to their work — in this case, drawing on the same subject area as CWI's initiative to demonstrate continuity across the portfolio.</w:t>
      </w:r>
    </w:p>
    <w:p w14:paraId="18E34A20" w14:textId="77777777" w:rsidR="00043504" w:rsidRDefault="00000000">
      <w:r>
        <w:br w:type="page"/>
      </w:r>
    </w:p>
    <w:p w14:paraId="629F5D0E" w14:textId="77777777" w:rsidR="00043504" w:rsidRDefault="00000000">
      <w:pPr>
        <w:pStyle w:val="Heading1"/>
        <w:pBdr>
          <w:bottom w:val="single" w:sz="8" w:space="4" w:color="B98F45"/>
        </w:pBdr>
        <w:spacing w:before="400" w:after="200"/>
      </w:pPr>
      <w:r>
        <w:lastRenderedPageBreak/>
        <w:t>Table of Contents</w:t>
      </w:r>
    </w:p>
    <w:p w14:paraId="16C1BB1B" w14:textId="77777777" w:rsidR="00043504" w:rsidRDefault="00000000">
      <w:pPr>
        <w:spacing w:after="170"/>
      </w:pPr>
      <w:r>
        <w:t>Executive Summary</w:t>
      </w:r>
    </w:p>
    <w:p w14:paraId="2133A632" w14:textId="77777777" w:rsidR="00043504" w:rsidRDefault="00000000">
      <w:pPr>
        <w:spacing w:after="170"/>
      </w:pPr>
      <w:r>
        <w:t>1. Introduction</w:t>
      </w:r>
    </w:p>
    <w:p w14:paraId="557B8628" w14:textId="77777777" w:rsidR="00043504" w:rsidRDefault="00000000">
      <w:pPr>
        <w:spacing w:after="170"/>
      </w:pPr>
      <w:r>
        <w:t>2. Background</w:t>
      </w:r>
    </w:p>
    <w:p w14:paraId="7ED69CFF" w14:textId="77777777" w:rsidR="00043504" w:rsidRDefault="00000000">
      <w:pPr>
        <w:spacing w:after="170"/>
      </w:pPr>
      <w:r>
        <w:t>3. Research Objectives</w:t>
      </w:r>
    </w:p>
    <w:p w14:paraId="0A51D521" w14:textId="77777777" w:rsidR="00043504" w:rsidRDefault="00000000">
      <w:pPr>
        <w:spacing w:after="170"/>
      </w:pPr>
      <w:r>
        <w:t>4. Methodology</w:t>
      </w:r>
    </w:p>
    <w:p w14:paraId="006A1B73" w14:textId="77777777" w:rsidR="00043504" w:rsidRDefault="00000000">
      <w:pPr>
        <w:spacing w:after="170"/>
      </w:pPr>
      <w:r>
        <w:t>5. Evidence Review</w:t>
      </w:r>
    </w:p>
    <w:p w14:paraId="01ABB0B2" w14:textId="77777777" w:rsidR="00043504" w:rsidRDefault="00000000">
      <w:pPr>
        <w:spacing w:after="170"/>
      </w:pPr>
      <w:r>
        <w:t>6. Key Findings</w:t>
      </w:r>
    </w:p>
    <w:p w14:paraId="32A64CB2" w14:textId="77777777" w:rsidR="00043504" w:rsidRDefault="00000000">
      <w:pPr>
        <w:spacing w:after="170"/>
      </w:pPr>
      <w:r>
        <w:t>7. Analysis</w:t>
      </w:r>
    </w:p>
    <w:p w14:paraId="30D91833" w14:textId="77777777" w:rsidR="00043504" w:rsidRDefault="00000000">
      <w:pPr>
        <w:spacing w:after="170"/>
      </w:pPr>
      <w:r>
        <w:t>8. Implications</w:t>
      </w:r>
    </w:p>
    <w:p w14:paraId="13822B51" w14:textId="77777777" w:rsidR="00043504" w:rsidRDefault="00000000">
      <w:pPr>
        <w:spacing w:after="170"/>
      </w:pPr>
      <w:r>
        <w:t>9. Recommendations</w:t>
      </w:r>
    </w:p>
    <w:p w14:paraId="03C488E6" w14:textId="77777777" w:rsidR="00043504" w:rsidRDefault="00000000">
      <w:pPr>
        <w:spacing w:after="170"/>
      </w:pPr>
      <w:r>
        <w:t>10. Conclusion</w:t>
      </w:r>
    </w:p>
    <w:p w14:paraId="25C49FCF" w14:textId="77777777" w:rsidR="00043504" w:rsidRDefault="00000000">
      <w:pPr>
        <w:spacing w:after="170"/>
      </w:pPr>
      <w:r>
        <w:t>References</w:t>
      </w:r>
    </w:p>
    <w:p w14:paraId="03338588" w14:textId="77777777" w:rsidR="00043504" w:rsidRDefault="00000000">
      <w:r>
        <w:br w:type="page"/>
      </w:r>
    </w:p>
    <w:p w14:paraId="6A966C83" w14:textId="77777777" w:rsidR="00043504" w:rsidRDefault="00000000">
      <w:pPr>
        <w:pStyle w:val="Heading1"/>
        <w:pBdr>
          <w:bottom w:val="single" w:sz="8" w:space="4" w:color="B98F45"/>
        </w:pBdr>
        <w:spacing w:before="400" w:after="200"/>
      </w:pPr>
      <w:r>
        <w:lastRenderedPageBreak/>
        <w:t>Executive Summary</w:t>
      </w:r>
    </w:p>
    <w:p w14:paraId="27CDC555" w14:textId="77777777" w:rsidR="00043504" w:rsidRDefault="00000000">
      <w:pPr>
        <w:spacing w:after="160" w:line="276" w:lineRule="auto"/>
        <w:jc w:val="both"/>
      </w:pPr>
      <w:r>
        <w:t>This report synthesizes existing evidence on the barriers underserved adults face in accessing mental health services, with the goal of informing program design, funding strategy, and policy discussion for organizations working in this space. Drawing on a structured review of illustrative literature spanning health services research, public health, and program evaluation, the report identifies three dominant barrier categories — cost, stigma, and system fragmentation — and examines how they interact to compound access gaps for low-income adults, older adults, and immigrant communities in particular.</w:t>
      </w:r>
    </w:p>
    <w:p w14:paraId="1C18179C" w14:textId="77777777" w:rsidR="00043504" w:rsidRDefault="00000000">
      <w:pPr>
        <w:spacing w:after="160" w:line="276" w:lineRule="auto"/>
        <w:jc w:val="both"/>
      </w:pPr>
      <w:r>
        <w:t>Key findings indicate that cost-related barriers remain the most frequently cited obstacle across the reviewed literature, but that stigma and navigational complexity often determine whether cost-eligible individuals ever initiate contact with a provider in the first place. The report further finds that community-based, non-clinical entry points — such as peer support and trusted community health workers — are consistently associated with improved initial engagement, even where they do not replace clinical care.</w:t>
      </w:r>
    </w:p>
    <w:p w14:paraId="634E8B52" w14:textId="77777777" w:rsidR="00043504" w:rsidRDefault="00000000">
      <w:pPr>
        <w:spacing w:after="160" w:line="276" w:lineRule="auto"/>
        <w:jc w:val="both"/>
      </w:pPr>
      <w:r>
        <w:t>Based on this synthesis, the report recommends a stepped-care model that combines low-barrier community entry points with subsidized clinical services and coordinated referral infrastructure — a model consistent with the approach outlined in Aspire's companion grant proposal for the Community Mental Health Access Initiative (CMHAI).</w:t>
      </w:r>
    </w:p>
    <w:p w14:paraId="5743A5D9" w14:textId="77777777" w:rsidR="00043504" w:rsidRDefault="00000000">
      <w:pPr>
        <w:pStyle w:val="Heading1"/>
        <w:pBdr>
          <w:bottom w:val="single" w:sz="8" w:space="4" w:color="B98F45"/>
        </w:pBdr>
        <w:spacing w:before="400" w:after="200"/>
      </w:pPr>
      <w:r>
        <w:t>1. Introduction</w:t>
      </w:r>
    </w:p>
    <w:p w14:paraId="593E6699" w14:textId="77777777" w:rsidR="00043504" w:rsidRDefault="00000000">
      <w:pPr>
        <w:spacing w:after="160" w:line="276" w:lineRule="auto"/>
        <w:jc w:val="both"/>
      </w:pPr>
      <w:r>
        <w:t>Access to mental health care remains persistently uneven across income levels, geography, and demographic group, despite decades of public health attention to the issue. For underserved adults in particular, unmet mental health need is not simply a matter of service availability, but of a layered set of barriers that determine whether available services are ever reached.</w:t>
      </w:r>
    </w:p>
    <w:p w14:paraId="49F2E395" w14:textId="77777777" w:rsidR="00043504" w:rsidRDefault="00000000">
      <w:pPr>
        <w:spacing w:after="160" w:line="276" w:lineRule="auto"/>
        <w:jc w:val="both"/>
      </w:pPr>
      <w:r>
        <w:t>This report was developed to synthesize existing evidence on these barriers and to translate that evidence into practical implications for organizations designing or funding community-based mental health programs. It is intended for use by nonprofit program staff, funders evaluating proposals in this space, and policymakers considering investments in community mental health infrastructure.</w:t>
      </w:r>
    </w:p>
    <w:p w14:paraId="0611A978" w14:textId="77777777" w:rsidR="00043504" w:rsidRDefault="00000000">
      <w:pPr>
        <w:spacing w:after="160" w:line="276" w:lineRule="auto"/>
        <w:jc w:val="both"/>
      </w:pPr>
      <w:r>
        <w:t>The report proceeds as follows: Section 2 provides background on the scope of the access gap; Section 3 outlines the research objectives guiding this review; Section 4 describes the methodology used; Section 5 presents the evidence review organized by barrier category; Sections 6 through 8 present key findings, analysis, and implications; and Sections 9 and 10 offer recommendations and concluding observations.</w:t>
      </w:r>
    </w:p>
    <w:p w14:paraId="6E9F0801" w14:textId="77777777" w:rsidR="00043504" w:rsidRDefault="00000000">
      <w:pPr>
        <w:pStyle w:val="Heading1"/>
        <w:pBdr>
          <w:bottom w:val="single" w:sz="8" w:space="4" w:color="B98F45"/>
        </w:pBdr>
        <w:spacing w:before="400" w:after="200"/>
      </w:pPr>
      <w:r>
        <w:t>2. Background</w:t>
      </w:r>
    </w:p>
    <w:p w14:paraId="6602FD08" w14:textId="77777777" w:rsidR="00043504" w:rsidRDefault="00000000">
      <w:pPr>
        <w:spacing w:after="160" w:line="276" w:lineRule="auto"/>
        <w:jc w:val="both"/>
      </w:pPr>
      <w:r>
        <w:t>Unmet mental health need among underserved adults has been documented across a wide range of settings and populations. While rates and specific figures vary across studies and geographies, a consistent pattern emerges across the literature: individuals with the greatest need for mental health support are often the least likely to receive it, and the gap is driven by structural and social factors as much as by clinical service availability.</w:t>
      </w:r>
    </w:p>
    <w:p w14:paraId="1BB200B0" w14:textId="77777777" w:rsidR="00043504" w:rsidRDefault="00000000">
      <w:pPr>
        <w:spacing w:after="160" w:line="276" w:lineRule="auto"/>
        <w:jc w:val="both"/>
      </w:pPr>
      <w:r>
        <w:lastRenderedPageBreak/>
        <w:t>This pattern holds particular significance for community-based organizations, which are frequently positioned as a bridge between underserved populations and formal health systems, but which often lack a clear, evidence-informed framework for designing that bridging role. This report aims to provide that framework by synthesizing the barriers literature into a structure that can directly inform program design.</w:t>
      </w:r>
    </w:p>
    <w:p w14:paraId="16D11F2E" w14:textId="77777777" w:rsidR="00043504" w:rsidRDefault="00000000">
      <w:pPr>
        <w:pStyle w:val="Heading1"/>
        <w:pBdr>
          <w:bottom w:val="single" w:sz="8" w:space="4" w:color="B98F45"/>
        </w:pBdr>
        <w:spacing w:before="400" w:after="200"/>
      </w:pPr>
      <w:r>
        <w:t>3. Research Objectives</w:t>
      </w:r>
    </w:p>
    <w:p w14:paraId="6FA5E6DF" w14:textId="77777777" w:rsidR="00043504" w:rsidRDefault="00000000">
      <w:pPr>
        <w:spacing w:after="160" w:line="276" w:lineRule="auto"/>
        <w:jc w:val="both"/>
      </w:pPr>
      <w:r>
        <w:t>This review was guided by four research objectives:</w:t>
      </w:r>
    </w:p>
    <w:p w14:paraId="4A96FDEF" w14:textId="77777777" w:rsidR="00043504" w:rsidRDefault="00000000">
      <w:pPr>
        <w:pStyle w:val="ListParagraph"/>
        <w:numPr>
          <w:ilvl w:val="0"/>
          <w:numId w:val="2"/>
        </w:numPr>
        <w:spacing w:after="90"/>
      </w:pPr>
      <w:r>
        <w:t>To identify and categorize the primary barriers that prevent underserved adults from accessing mental health services.</w:t>
      </w:r>
    </w:p>
    <w:p w14:paraId="1D989CA8" w14:textId="77777777" w:rsidR="00043504" w:rsidRDefault="00000000">
      <w:pPr>
        <w:pStyle w:val="ListParagraph"/>
        <w:numPr>
          <w:ilvl w:val="0"/>
          <w:numId w:val="2"/>
        </w:numPr>
        <w:spacing w:after="90"/>
      </w:pPr>
      <w:r>
        <w:t>To examine how these barriers interact and compound one another rather than operating independently.</w:t>
      </w:r>
    </w:p>
    <w:p w14:paraId="02BEA2EA" w14:textId="77777777" w:rsidR="00043504" w:rsidRDefault="00000000">
      <w:pPr>
        <w:pStyle w:val="ListParagraph"/>
        <w:numPr>
          <w:ilvl w:val="0"/>
          <w:numId w:val="2"/>
        </w:numPr>
        <w:spacing w:after="90"/>
      </w:pPr>
      <w:r>
        <w:t>To identify program models and intervention types associated with improved access outcomes in the reviewed literature.</w:t>
      </w:r>
    </w:p>
    <w:p w14:paraId="667CA23A" w14:textId="77777777" w:rsidR="00043504" w:rsidRDefault="00000000">
      <w:pPr>
        <w:pStyle w:val="ListParagraph"/>
        <w:numPr>
          <w:ilvl w:val="0"/>
          <w:numId w:val="2"/>
        </w:numPr>
        <w:spacing w:after="90"/>
      </w:pPr>
      <w:r>
        <w:t>To translate these findings into practical recommendations for community-based mental health program design.</w:t>
      </w:r>
    </w:p>
    <w:p w14:paraId="56688641" w14:textId="77777777" w:rsidR="00043504" w:rsidRDefault="00000000">
      <w:pPr>
        <w:pStyle w:val="Heading1"/>
        <w:pBdr>
          <w:bottom w:val="single" w:sz="8" w:space="4" w:color="B98F45"/>
        </w:pBdr>
        <w:spacing w:before="400" w:after="200"/>
      </w:pPr>
      <w:r>
        <w:t>4. Methodology</w:t>
      </w:r>
    </w:p>
    <w:p w14:paraId="02F34DC6" w14:textId="77777777" w:rsidR="00043504" w:rsidRDefault="00000000">
      <w:pPr>
        <w:spacing w:after="160" w:line="276" w:lineRule="auto"/>
        <w:jc w:val="both"/>
      </w:pPr>
      <w:r>
        <w:t>This report is based on a structured narrative review of illustrative literature relevant to mental health access barriers among underserved adult populations.</w:t>
      </w:r>
    </w:p>
    <w:p w14:paraId="4AFB5675" w14:textId="77777777" w:rsidR="00043504" w:rsidRDefault="00000000">
      <w:pPr>
        <w:spacing w:before="200" w:after="100"/>
      </w:pPr>
      <w:r>
        <w:rPr>
          <w:rFonts w:ascii="Montserrat" w:eastAsia="Montserrat" w:hAnsi="Montserrat" w:cs="Montserrat"/>
          <w:b/>
          <w:bCs/>
          <w:color w:val="1B2A41"/>
          <w:sz w:val="21"/>
          <w:szCs w:val="21"/>
        </w:rPr>
        <w:t>4.1 Search and Selection Approach</w:t>
      </w:r>
    </w:p>
    <w:p w14:paraId="2730A2D2" w14:textId="77777777" w:rsidR="00043504" w:rsidRDefault="00000000">
      <w:pPr>
        <w:spacing w:after="160" w:line="276" w:lineRule="auto"/>
        <w:jc w:val="both"/>
      </w:pPr>
      <w:r>
        <w:t>Sources were selected to represent the major categories of evidence typically drawn upon in this field: peer-reviewed health services research, public health surveillance data, program evaluation reports, and policy analyses. Priority was given to sources addressing low-income adults, older adults, and immigrant or limited-English-proficiency populations, consistent with the target population served by community-based mental health programs.</w:t>
      </w:r>
    </w:p>
    <w:p w14:paraId="0FE31461" w14:textId="77777777" w:rsidR="00043504" w:rsidRDefault="00000000">
      <w:pPr>
        <w:spacing w:before="200" w:after="100"/>
      </w:pPr>
      <w:r>
        <w:rPr>
          <w:rFonts w:ascii="Montserrat" w:eastAsia="Montserrat" w:hAnsi="Montserrat" w:cs="Montserrat"/>
          <w:b/>
          <w:bCs/>
          <w:color w:val="1B2A41"/>
          <w:sz w:val="21"/>
          <w:szCs w:val="21"/>
        </w:rPr>
        <w:t>4.2 Synthesis Approach</w:t>
      </w:r>
    </w:p>
    <w:p w14:paraId="159188A9" w14:textId="77777777" w:rsidR="00043504" w:rsidRDefault="00000000">
      <w:pPr>
        <w:spacing w:after="160" w:line="276" w:lineRule="auto"/>
        <w:jc w:val="both"/>
      </w:pPr>
      <w:r>
        <w:t>Rather than presenting findings source-by-source, this report synthesizes evidence thematically around three barrier categories identified as most consistently reported across the literature: cost, stigma, and system fragmentation. Within each category, the review considers both the nature of the barrier and the evidence on interventions shown to reduce it.</w:t>
      </w:r>
    </w:p>
    <w:p w14:paraId="0B347073" w14:textId="77777777" w:rsidR="00043504" w:rsidRDefault="00000000">
      <w:pPr>
        <w:spacing w:before="200" w:after="100"/>
      </w:pPr>
      <w:r>
        <w:rPr>
          <w:rFonts w:ascii="Montserrat" w:eastAsia="Montserrat" w:hAnsi="Montserrat" w:cs="Montserrat"/>
          <w:b/>
          <w:bCs/>
          <w:color w:val="1B2A41"/>
          <w:sz w:val="21"/>
          <w:szCs w:val="21"/>
        </w:rPr>
        <w:t>4.3 Limitations</w:t>
      </w:r>
    </w:p>
    <w:p w14:paraId="75CA8FF7" w14:textId="77777777" w:rsidR="00043504" w:rsidRDefault="00000000">
      <w:pPr>
        <w:spacing w:after="160" w:line="276" w:lineRule="auto"/>
        <w:jc w:val="both"/>
      </w:pPr>
      <w:r>
        <w:t>As with any narrative literature synthesis, this review is subject to the limitations of the underlying evidence base, including variation in study design, population, and geography across sources. Findings are presented as patterns consistently observed across the literature rather than as precise, generalizable statistics. As noted in the Portfolio Sample Disclosure, the specific sources cited in this illustrative report are fictional composites created to demonstrate this methodology.</w:t>
      </w:r>
    </w:p>
    <w:p w14:paraId="7701ECAA" w14:textId="77777777" w:rsidR="00043504" w:rsidRDefault="00000000">
      <w:pPr>
        <w:pStyle w:val="Heading1"/>
        <w:pBdr>
          <w:bottom w:val="single" w:sz="8" w:space="4" w:color="B98F45"/>
        </w:pBdr>
        <w:spacing w:before="400" w:after="200"/>
      </w:pPr>
      <w:r>
        <w:lastRenderedPageBreak/>
        <w:t>5. Evidence Review</w:t>
      </w:r>
    </w:p>
    <w:p w14:paraId="1FE1325E" w14:textId="77777777" w:rsidR="00043504" w:rsidRDefault="00000000">
      <w:pPr>
        <w:spacing w:after="160" w:line="276" w:lineRule="auto"/>
        <w:jc w:val="both"/>
      </w:pPr>
      <w:r>
        <w:t>The reviewed literature converges on three interrelated barrier categories: cost, stigma, and system fragmentation. Each is examined below, along with evidence on intervention approaches associated with reduced barrier impact.</w:t>
      </w:r>
    </w:p>
    <w:p w14:paraId="1D55F653" w14:textId="77777777" w:rsidR="00043504" w:rsidRDefault="00000000">
      <w:pPr>
        <w:spacing w:before="200" w:after="100"/>
      </w:pPr>
      <w:r>
        <w:rPr>
          <w:rFonts w:ascii="Montserrat" w:eastAsia="Montserrat" w:hAnsi="Montserrat" w:cs="Montserrat"/>
          <w:b/>
          <w:bCs/>
          <w:color w:val="1B2A41"/>
          <w:sz w:val="21"/>
          <w:szCs w:val="21"/>
        </w:rPr>
        <w:t>5.1 Cost Barriers</w:t>
      </w:r>
    </w:p>
    <w:p w14:paraId="05D78E25" w14:textId="77777777" w:rsidR="00043504" w:rsidRDefault="00000000">
      <w:pPr>
        <w:spacing w:after="160" w:line="276" w:lineRule="auto"/>
        <w:jc w:val="both"/>
      </w:pPr>
      <w:r>
        <w:t>Cost is the most frequently cited barrier across the reviewed literature. Uninsured and underinsured adults consistently report that out-of-pocket costs are a primary deterrent to seeking mental health care, even when they recognize a clinical need (Alvarez &amp; Munoz, 2023; Community Health Policy Institute, 2022). Evidence on sliding-scale and subsidized fee models suggests that reducing direct cost to the client, even partially, is associated with meaningfully higher rates of service initiation among low-income populations (Okafor et al., 2021).</w:t>
      </w:r>
    </w:p>
    <w:p w14:paraId="3974D990" w14:textId="77777777" w:rsidR="00043504" w:rsidRDefault="00000000">
      <w:pPr>
        <w:spacing w:before="200" w:after="100"/>
      </w:pPr>
      <w:r>
        <w:rPr>
          <w:rFonts w:ascii="Montserrat" w:eastAsia="Montserrat" w:hAnsi="Montserrat" w:cs="Montserrat"/>
          <w:b/>
          <w:bCs/>
          <w:color w:val="1B2A41"/>
          <w:sz w:val="21"/>
          <w:szCs w:val="21"/>
        </w:rPr>
        <w:t>5.2 Stigma and Cultural Barriers</w:t>
      </w:r>
    </w:p>
    <w:p w14:paraId="52CB4506" w14:textId="77777777" w:rsidR="00043504" w:rsidRDefault="00000000">
      <w:pPr>
        <w:spacing w:after="160" w:line="276" w:lineRule="auto"/>
        <w:jc w:val="both"/>
      </w:pPr>
      <w:r>
        <w:t>Stigma operates both at the individual level, through fear of judgment or disclosure, and at the community level, through cultural norms that discourage help-seeking (Ramirez, 2020). This barrier is particularly pronounced among older adults and within several immigrant communities, where mental health concerns are often reframed in non-clinical terms or addressed exclusively within family or religious networks (Chen &amp; Adebayo, 2022). The literature identifies trusted community messengers, such as peer facilitators and community health workers, as a consistently effective mechanism for reducing stigma-related hesitancy (Okafor et al., 2021).</w:t>
      </w:r>
    </w:p>
    <w:p w14:paraId="5B23DD9B" w14:textId="77777777" w:rsidR="00043504" w:rsidRDefault="00000000">
      <w:pPr>
        <w:spacing w:before="200" w:after="100"/>
      </w:pPr>
      <w:r>
        <w:rPr>
          <w:rFonts w:ascii="Montserrat" w:eastAsia="Montserrat" w:hAnsi="Montserrat" w:cs="Montserrat"/>
          <w:b/>
          <w:bCs/>
          <w:color w:val="1B2A41"/>
          <w:sz w:val="21"/>
          <w:szCs w:val="21"/>
        </w:rPr>
        <w:t>5.3 System Fragmentation and Navigation Barriers</w:t>
      </w:r>
    </w:p>
    <w:p w14:paraId="09F968C4" w14:textId="77777777" w:rsidR="00043504" w:rsidRDefault="00000000">
      <w:pPr>
        <w:spacing w:after="160" w:line="276" w:lineRule="auto"/>
        <w:jc w:val="both"/>
      </w:pPr>
      <w:r>
        <w:t>Even when cost and stigma barriers are addressed, adults frequently encounter a fragmented service landscape with no clear point of entry (Community Health Policy Institute, 2022). Multiple sources highlight the effectiveness of centralized navigation and referral systems, and of community health worker models specifically, in helping residents identify and reach an appropriate level of care (Alvarez &amp; Munoz, 2023; Ramirez, 2020).</w:t>
      </w:r>
    </w:p>
    <w:p w14:paraId="4034D86E" w14:textId="77777777" w:rsidR="00043504" w:rsidRDefault="00000000">
      <w:pPr>
        <w:spacing w:before="200" w:after="100"/>
      </w:pPr>
      <w:r>
        <w:rPr>
          <w:rFonts w:ascii="Montserrat" w:eastAsia="Montserrat" w:hAnsi="Montserrat" w:cs="Montserrat"/>
          <w:b/>
          <w:bCs/>
          <w:color w:val="1B2A41"/>
          <w:sz w:val="21"/>
          <w:szCs w:val="21"/>
        </w:rPr>
        <w:t>5.4 Compounding Effects</w:t>
      </w:r>
    </w:p>
    <w:p w14:paraId="465FDAC3" w14:textId="77777777" w:rsidR="00043504" w:rsidRDefault="00000000">
      <w:pPr>
        <w:spacing w:after="160" w:line="276" w:lineRule="auto"/>
        <w:jc w:val="both"/>
      </w:pPr>
      <w:r>
        <w:t>A recurring theme across the reviewed sources is that these three barrier categories rarely operate in isolation. An individual facing cost barriers is often simultaneously navigating stigma and system fragmentation, meaning that single-barrier interventions — for example, cost subsidy alone — tend to show weaker outcomes than multi-component models addressing more than one barrier simultaneously (Chen &amp; Adebayo, 2022).</w:t>
      </w:r>
    </w:p>
    <w:p w14:paraId="66584CC5" w14:textId="77777777" w:rsidR="00043504" w:rsidRDefault="00000000">
      <w:pPr>
        <w:spacing w:before="200" w:after="100"/>
      </w:pPr>
      <w:r>
        <w:rPr>
          <w:b/>
          <w:bCs/>
          <w:i/>
          <w:iCs/>
          <w:color w:val="1B2A41"/>
          <w:sz w:val="20"/>
          <w:szCs w:val="20"/>
        </w:rPr>
        <w:t>Table 1. Summary of Barrier Categories and Associated Mitigations</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3650"/>
        <w:gridCol w:w="3500"/>
      </w:tblGrid>
      <w:tr w:rsidR="00043504" w14:paraId="3AA13E9B" w14:textId="77777777">
        <w:tblPrEx>
          <w:tblCellMar>
            <w:top w:w="0" w:type="dxa"/>
            <w:bottom w:w="0" w:type="dxa"/>
          </w:tblCellMar>
        </w:tblPrEx>
        <w:trPr>
          <w:cantSplit/>
          <w:tblHeader/>
        </w:trPr>
        <w:tc>
          <w:tcPr>
            <w:tcW w:w="2200" w:type="dxa"/>
            <w:shd w:val="clear" w:color="auto" w:fill="1B2A41"/>
            <w:tcMar>
              <w:top w:w="80" w:type="dxa"/>
              <w:left w:w="100" w:type="dxa"/>
              <w:bottom w:w="80" w:type="dxa"/>
              <w:right w:w="100" w:type="dxa"/>
            </w:tcMar>
            <w:vAlign w:val="center"/>
          </w:tcPr>
          <w:p w14:paraId="64860AEA" w14:textId="77777777" w:rsidR="00043504" w:rsidRDefault="00000000">
            <w:r>
              <w:rPr>
                <w:b/>
                <w:bCs/>
                <w:color w:val="FFFFFF"/>
                <w:sz w:val="20"/>
                <w:szCs w:val="20"/>
              </w:rPr>
              <w:t>Barrier Category</w:t>
            </w:r>
          </w:p>
        </w:tc>
        <w:tc>
          <w:tcPr>
            <w:tcW w:w="3650" w:type="dxa"/>
            <w:shd w:val="clear" w:color="auto" w:fill="1B2A41"/>
            <w:tcMar>
              <w:top w:w="80" w:type="dxa"/>
              <w:left w:w="100" w:type="dxa"/>
              <w:bottom w:w="80" w:type="dxa"/>
              <w:right w:w="100" w:type="dxa"/>
            </w:tcMar>
            <w:vAlign w:val="center"/>
          </w:tcPr>
          <w:p w14:paraId="055D9BB0" w14:textId="77777777" w:rsidR="00043504" w:rsidRDefault="00000000">
            <w:r>
              <w:rPr>
                <w:b/>
                <w:bCs/>
                <w:color w:val="FFFFFF"/>
                <w:sz w:val="20"/>
                <w:szCs w:val="20"/>
              </w:rPr>
              <w:t>Nature of Barrier</w:t>
            </w:r>
          </w:p>
        </w:tc>
        <w:tc>
          <w:tcPr>
            <w:tcW w:w="3500" w:type="dxa"/>
            <w:shd w:val="clear" w:color="auto" w:fill="1B2A41"/>
            <w:tcMar>
              <w:top w:w="80" w:type="dxa"/>
              <w:left w:w="100" w:type="dxa"/>
              <w:bottom w:w="80" w:type="dxa"/>
              <w:right w:w="100" w:type="dxa"/>
            </w:tcMar>
            <w:vAlign w:val="center"/>
          </w:tcPr>
          <w:p w14:paraId="732A58E5" w14:textId="77777777" w:rsidR="00043504" w:rsidRDefault="00000000">
            <w:r>
              <w:rPr>
                <w:b/>
                <w:bCs/>
                <w:color w:val="FFFFFF"/>
                <w:sz w:val="20"/>
                <w:szCs w:val="20"/>
              </w:rPr>
              <w:t>Evidence-Associated Mitigations</w:t>
            </w:r>
          </w:p>
        </w:tc>
      </w:tr>
      <w:tr w:rsidR="00043504" w14:paraId="027C083A" w14:textId="77777777">
        <w:tblPrEx>
          <w:tblCellMar>
            <w:top w:w="0" w:type="dxa"/>
            <w:bottom w:w="0" w:type="dxa"/>
          </w:tblCellMar>
        </w:tblPrEx>
        <w:trPr>
          <w:cantSplit/>
        </w:trPr>
        <w:tc>
          <w:tcPr>
            <w:tcW w:w="2200" w:type="dxa"/>
            <w:shd w:val="clear" w:color="auto" w:fill="F3F2EF"/>
            <w:tcMar>
              <w:top w:w="80" w:type="dxa"/>
              <w:left w:w="100" w:type="dxa"/>
              <w:bottom w:w="80" w:type="dxa"/>
              <w:right w:w="100" w:type="dxa"/>
            </w:tcMar>
            <w:vAlign w:val="center"/>
          </w:tcPr>
          <w:p w14:paraId="56EB8C0F" w14:textId="77777777" w:rsidR="00043504" w:rsidRDefault="00000000">
            <w:r>
              <w:rPr>
                <w:b/>
                <w:bCs/>
                <w:sz w:val="20"/>
                <w:szCs w:val="20"/>
              </w:rPr>
              <w:t>Cost</w:t>
            </w:r>
          </w:p>
        </w:tc>
        <w:tc>
          <w:tcPr>
            <w:tcW w:w="3650" w:type="dxa"/>
            <w:shd w:val="clear" w:color="auto" w:fill="F3F2EF"/>
            <w:tcMar>
              <w:top w:w="80" w:type="dxa"/>
              <w:left w:w="100" w:type="dxa"/>
              <w:bottom w:w="80" w:type="dxa"/>
              <w:right w:w="100" w:type="dxa"/>
            </w:tcMar>
            <w:vAlign w:val="center"/>
          </w:tcPr>
          <w:p w14:paraId="25690DCB" w14:textId="77777777" w:rsidR="00043504" w:rsidRDefault="00000000">
            <w:r>
              <w:rPr>
                <w:sz w:val="20"/>
                <w:szCs w:val="20"/>
              </w:rPr>
              <w:t>Out-of-pocket cost deters care-seeking even where need is recognized.</w:t>
            </w:r>
          </w:p>
        </w:tc>
        <w:tc>
          <w:tcPr>
            <w:tcW w:w="3500" w:type="dxa"/>
            <w:shd w:val="clear" w:color="auto" w:fill="F3F2EF"/>
            <w:tcMar>
              <w:top w:w="80" w:type="dxa"/>
              <w:left w:w="100" w:type="dxa"/>
              <w:bottom w:w="80" w:type="dxa"/>
              <w:right w:w="100" w:type="dxa"/>
            </w:tcMar>
            <w:vAlign w:val="center"/>
          </w:tcPr>
          <w:p w14:paraId="4A42DF44" w14:textId="77777777" w:rsidR="00043504" w:rsidRDefault="00000000">
            <w:r>
              <w:rPr>
                <w:sz w:val="20"/>
                <w:szCs w:val="20"/>
              </w:rPr>
              <w:t>Sliding-scale fees, subsidized session models, insurance navigation support.</w:t>
            </w:r>
          </w:p>
        </w:tc>
      </w:tr>
      <w:tr w:rsidR="00043504" w14:paraId="3CC7E726" w14:textId="77777777">
        <w:tblPrEx>
          <w:tblCellMar>
            <w:top w:w="0" w:type="dxa"/>
            <w:bottom w:w="0" w:type="dxa"/>
          </w:tblCellMar>
        </w:tblPrEx>
        <w:trPr>
          <w:cantSplit/>
        </w:trPr>
        <w:tc>
          <w:tcPr>
            <w:tcW w:w="2200" w:type="dxa"/>
            <w:tcMar>
              <w:top w:w="80" w:type="dxa"/>
              <w:left w:w="100" w:type="dxa"/>
              <w:bottom w:w="80" w:type="dxa"/>
              <w:right w:w="100" w:type="dxa"/>
            </w:tcMar>
            <w:vAlign w:val="center"/>
          </w:tcPr>
          <w:p w14:paraId="6B544859" w14:textId="77777777" w:rsidR="00043504" w:rsidRDefault="00000000">
            <w:r>
              <w:rPr>
                <w:b/>
                <w:bCs/>
                <w:sz w:val="20"/>
                <w:szCs w:val="20"/>
              </w:rPr>
              <w:t>Stigma</w:t>
            </w:r>
          </w:p>
        </w:tc>
        <w:tc>
          <w:tcPr>
            <w:tcW w:w="3650" w:type="dxa"/>
            <w:tcMar>
              <w:top w:w="80" w:type="dxa"/>
              <w:left w:w="100" w:type="dxa"/>
              <w:bottom w:w="80" w:type="dxa"/>
              <w:right w:w="100" w:type="dxa"/>
            </w:tcMar>
            <w:vAlign w:val="center"/>
          </w:tcPr>
          <w:p w14:paraId="1B686FC7" w14:textId="77777777" w:rsidR="00043504" w:rsidRDefault="00000000">
            <w:r>
              <w:rPr>
                <w:sz w:val="20"/>
                <w:szCs w:val="20"/>
              </w:rPr>
              <w:t>Individual and community-level stigma discourages disclosure and help-seeking.</w:t>
            </w:r>
          </w:p>
        </w:tc>
        <w:tc>
          <w:tcPr>
            <w:tcW w:w="3500" w:type="dxa"/>
            <w:tcMar>
              <w:top w:w="80" w:type="dxa"/>
              <w:left w:w="100" w:type="dxa"/>
              <w:bottom w:w="80" w:type="dxa"/>
              <w:right w:w="100" w:type="dxa"/>
            </w:tcMar>
            <w:vAlign w:val="center"/>
          </w:tcPr>
          <w:p w14:paraId="1094F000" w14:textId="77777777" w:rsidR="00043504" w:rsidRDefault="00000000">
            <w:r>
              <w:rPr>
                <w:sz w:val="20"/>
                <w:szCs w:val="20"/>
              </w:rPr>
              <w:t>Peer support facilitation, trusted community messengers, culturally tailored outreach.</w:t>
            </w:r>
          </w:p>
        </w:tc>
      </w:tr>
      <w:tr w:rsidR="00043504" w14:paraId="0D145462" w14:textId="77777777">
        <w:tblPrEx>
          <w:tblCellMar>
            <w:top w:w="0" w:type="dxa"/>
            <w:bottom w:w="0" w:type="dxa"/>
          </w:tblCellMar>
        </w:tblPrEx>
        <w:trPr>
          <w:cantSplit/>
        </w:trPr>
        <w:tc>
          <w:tcPr>
            <w:tcW w:w="2200" w:type="dxa"/>
            <w:shd w:val="clear" w:color="auto" w:fill="F3F2EF"/>
            <w:tcMar>
              <w:top w:w="80" w:type="dxa"/>
              <w:left w:w="100" w:type="dxa"/>
              <w:bottom w:w="80" w:type="dxa"/>
              <w:right w:w="100" w:type="dxa"/>
            </w:tcMar>
            <w:vAlign w:val="center"/>
          </w:tcPr>
          <w:p w14:paraId="5BFB6AA7" w14:textId="77777777" w:rsidR="00043504" w:rsidRDefault="00000000">
            <w:r>
              <w:rPr>
                <w:b/>
                <w:bCs/>
                <w:sz w:val="20"/>
                <w:szCs w:val="20"/>
              </w:rPr>
              <w:lastRenderedPageBreak/>
              <w:t>Fragmentation</w:t>
            </w:r>
          </w:p>
        </w:tc>
        <w:tc>
          <w:tcPr>
            <w:tcW w:w="3650" w:type="dxa"/>
            <w:shd w:val="clear" w:color="auto" w:fill="F3F2EF"/>
            <w:tcMar>
              <w:top w:w="80" w:type="dxa"/>
              <w:left w:w="100" w:type="dxa"/>
              <w:bottom w:w="80" w:type="dxa"/>
              <w:right w:w="100" w:type="dxa"/>
            </w:tcMar>
            <w:vAlign w:val="center"/>
          </w:tcPr>
          <w:p w14:paraId="57377E4E" w14:textId="77777777" w:rsidR="00043504" w:rsidRDefault="00000000">
            <w:r>
              <w:rPr>
                <w:sz w:val="20"/>
                <w:szCs w:val="20"/>
              </w:rPr>
              <w:t>No clear point of entry across overlapping public, nonprofit, and private providers.</w:t>
            </w:r>
          </w:p>
        </w:tc>
        <w:tc>
          <w:tcPr>
            <w:tcW w:w="3500" w:type="dxa"/>
            <w:shd w:val="clear" w:color="auto" w:fill="F3F2EF"/>
            <w:tcMar>
              <w:top w:w="80" w:type="dxa"/>
              <w:left w:w="100" w:type="dxa"/>
              <w:bottom w:w="80" w:type="dxa"/>
              <w:right w:w="100" w:type="dxa"/>
            </w:tcMar>
            <w:vAlign w:val="center"/>
          </w:tcPr>
          <w:p w14:paraId="06F556EC" w14:textId="77777777" w:rsidR="00043504" w:rsidRDefault="00000000">
            <w:r>
              <w:rPr>
                <w:sz w:val="20"/>
                <w:szCs w:val="20"/>
              </w:rPr>
              <w:t>Centralized referral systems, community health worker navigation models.</w:t>
            </w:r>
          </w:p>
        </w:tc>
      </w:tr>
    </w:tbl>
    <w:p w14:paraId="5FF5F35D" w14:textId="77777777" w:rsidR="00043504" w:rsidRDefault="00043504">
      <w:pPr>
        <w:spacing w:before="240"/>
      </w:pPr>
    </w:p>
    <w:p w14:paraId="798626BA" w14:textId="77777777" w:rsidR="00043504" w:rsidRDefault="00000000">
      <w:pPr>
        <w:pStyle w:val="Heading1"/>
        <w:pBdr>
          <w:bottom w:val="single" w:sz="8" w:space="4" w:color="B98F45"/>
        </w:pBdr>
        <w:spacing w:before="400" w:after="200"/>
      </w:pPr>
      <w:r>
        <w:t>6. Key Findings</w:t>
      </w:r>
    </w:p>
    <w:p w14:paraId="2A8895A6" w14:textId="77777777" w:rsidR="00043504" w:rsidRDefault="00000000">
      <w:pPr>
        <w:pStyle w:val="ListParagraph"/>
        <w:numPr>
          <w:ilvl w:val="0"/>
          <w:numId w:val="2"/>
        </w:numPr>
        <w:spacing w:after="90"/>
      </w:pPr>
      <w:r>
        <w:t>Cost is the most frequently cited barrier to mental health service access among underserved adults, but addressing cost alone is insufficient to close the access gap.</w:t>
      </w:r>
    </w:p>
    <w:p w14:paraId="54E1C052" w14:textId="77777777" w:rsidR="00043504" w:rsidRDefault="00000000">
      <w:pPr>
        <w:pStyle w:val="ListParagraph"/>
        <w:numPr>
          <w:ilvl w:val="0"/>
          <w:numId w:val="2"/>
        </w:numPr>
        <w:spacing w:after="90"/>
      </w:pPr>
      <w:r>
        <w:t>Stigma operates at both individual and community levels and is particularly pronounced among older adults and within several immigrant communities.</w:t>
      </w:r>
    </w:p>
    <w:p w14:paraId="739BDA69" w14:textId="77777777" w:rsidR="00043504" w:rsidRDefault="00000000">
      <w:pPr>
        <w:pStyle w:val="ListParagraph"/>
        <w:numPr>
          <w:ilvl w:val="0"/>
          <w:numId w:val="2"/>
        </w:numPr>
        <w:spacing w:after="90"/>
      </w:pPr>
      <w:r>
        <w:t>System fragmentation prevents even motivated, cost-eligible individuals from reaching appropriate care, underscoring the importance of navigation infrastructure.</w:t>
      </w:r>
    </w:p>
    <w:p w14:paraId="3D16D911" w14:textId="77777777" w:rsidR="00043504" w:rsidRDefault="00000000">
      <w:pPr>
        <w:pStyle w:val="ListParagraph"/>
        <w:numPr>
          <w:ilvl w:val="0"/>
          <w:numId w:val="2"/>
        </w:numPr>
        <w:spacing w:after="90"/>
      </w:pPr>
      <w:r>
        <w:t>Barriers compound rather than operate independently, meaning multi-component interventions consistently show stronger outcomes than single-barrier approaches.</w:t>
      </w:r>
    </w:p>
    <w:p w14:paraId="309242CF" w14:textId="77777777" w:rsidR="00043504" w:rsidRDefault="00000000">
      <w:pPr>
        <w:pStyle w:val="ListParagraph"/>
        <w:numPr>
          <w:ilvl w:val="0"/>
          <w:numId w:val="2"/>
        </w:numPr>
        <w:spacing w:after="90"/>
      </w:pPr>
      <w:r>
        <w:t>Community-based, non-clinical entry points — including peer support and community health worker outreach — are associated with improved initial engagement, even where they do not substitute for clinical care.</w:t>
      </w:r>
    </w:p>
    <w:p w14:paraId="7619CCAC" w14:textId="77777777" w:rsidR="00043504" w:rsidRDefault="00000000">
      <w:pPr>
        <w:pStyle w:val="Heading1"/>
        <w:pBdr>
          <w:bottom w:val="single" w:sz="8" w:space="4" w:color="B98F45"/>
        </w:pBdr>
        <w:spacing w:before="400" w:after="200"/>
      </w:pPr>
      <w:r>
        <w:t>7. Analysis</w:t>
      </w:r>
    </w:p>
    <w:p w14:paraId="56CDDBA4" w14:textId="77777777" w:rsidR="00043504" w:rsidRDefault="00000000">
      <w:pPr>
        <w:spacing w:after="160" w:line="276" w:lineRule="auto"/>
        <w:jc w:val="both"/>
      </w:pPr>
      <w:r>
        <w:t>Taken together, the reviewed evidence suggests that mental health access barriers among underserved adults are best understood not as a single obstacle but as a layered system of deterrents that reinforce one another. This has direct implications for program design: an intervention addressing only one barrier category, however well-executed, is likely to leave the underlying access gap largely intact.</w:t>
      </w:r>
    </w:p>
    <w:p w14:paraId="327017D8" w14:textId="77777777" w:rsidR="00043504" w:rsidRDefault="00000000">
      <w:pPr>
        <w:spacing w:before="200" w:after="100"/>
      </w:pPr>
      <w:r>
        <w:rPr>
          <w:rFonts w:ascii="Montserrat" w:eastAsia="Montserrat" w:hAnsi="Montserrat" w:cs="Montserrat"/>
          <w:b/>
          <w:bCs/>
          <w:color w:val="1B2A41"/>
          <w:sz w:val="21"/>
          <w:szCs w:val="21"/>
        </w:rPr>
        <w:t>7.1 The Case for Stepped, Multi-Component Models</w:t>
      </w:r>
    </w:p>
    <w:p w14:paraId="114F7736" w14:textId="77777777" w:rsidR="00043504" w:rsidRDefault="00000000">
      <w:pPr>
        <w:spacing w:after="160" w:line="276" w:lineRule="auto"/>
        <w:jc w:val="both"/>
      </w:pPr>
      <w:r>
        <w:t>The evidence most strongly supports program models that combine a low-barrier, non-clinical entry point — such as peer support or community health worker contact — with a pathway to subsidized clinical care and a structured referral system. This stepped-care structure allows individuals to engage at the point where stigma and navigational complexity are lowest, while still providing a pathway to more intensive support when needed.</w:t>
      </w:r>
    </w:p>
    <w:p w14:paraId="309D1FDF" w14:textId="77777777" w:rsidR="00043504" w:rsidRDefault="00000000">
      <w:pPr>
        <w:spacing w:before="200" w:after="100"/>
      </w:pPr>
      <w:r>
        <w:rPr>
          <w:rFonts w:ascii="Montserrat" w:eastAsia="Montserrat" w:hAnsi="Montserrat" w:cs="Montserrat"/>
          <w:b/>
          <w:bCs/>
          <w:color w:val="1B2A41"/>
          <w:sz w:val="21"/>
          <w:szCs w:val="21"/>
        </w:rPr>
        <w:t>7.2 Gaps in the Evidence Base</w:t>
      </w:r>
    </w:p>
    <w:p w14:paraId="16DC6BE8" w14:textId="77777777" w:rsidR="00043504" w:rsidRDefault="00000000">
      <w:pPr>
        <w:spacing w:after="160" w:line="276" w:lineRule="auto"/>
        <w:jc w:val="both"/>
      </w:pPr>
      <w:r>
        <w:t>While the reviewed literature is consistent in identifying barrier categories and general intervention types, fewer sources provide rigorous, long-term outcome data on multi-component models specifically. This represents an area where program-level evaluation, such as the evaluation plan proposed for CMHAI in Aspire's companion grant proposal, can meaningfully contribute to the broader evidence base.</w:t>
      </w:r>
    </w:p>
    <w:p w14:paraId="2124581C" w14:textId="77777777" w:rsidR="00043504" w:rsidRDefault="00000000">
      <w:pPr>
        <w:pStyle w:val="Heading1"/>
        <w:pBdr>
          <w:bottom w:val="single" w:sz="8" w:space="4" w:color="B98F45"/>
        </w:pBdr>
        <w:spacing w:before="400" w:after="200"/>
      </w:pPr>
      <w:r>
        <w:t>8. Implications</w:t>
      </w:r>
    </w:p>
    <w:p w14:paraId="0A54DFD3" w14:textId="77777777" w:rsidR="00043504" w:rsidRDefault="00000000">
      <w:pPr>
        <w:spacing w:before="200" w:after="100"/>
      </w:pPr>
      <w:r>
        <w:rPr>
          <w:rFonts w:ascii="Montserrat" w:eastAsia="Montserrat" w:hAnsi="Montserrat" w:cs="Montserrat"/>
          <w:b/>
          <w:bCs/>
          <w:color w:val="1B2A41"/>
          <w:sz w:val="21"/>
          <w:szCs w:val="21"/>
        </w:rPr>
        <w:t>8.1 For Program Design</w:t>
      </w:r>
    </w:p>
    <w:p w14:paraId="751B5739" w14:textId="77777777" w:rsidR="00043504" w:rsidRDefault="00000000">
      <w:pPr>
        <w:spacing w:after="160" w:line="276" w:lineRule="auto"/>
        <w:jc w:val="both"/>
      </w:pPr>
      <w:r>
        <w:lastRenderedPageBreak/>
        <w:t>Organizations designing community-based mental health programs should prioritize multi-component models that pair low-barrier entry points with a clear pathway to subsidized clinical care and structured referral, rather than relying on any single intervention type in isolation.</w:t>
      </w:r>
    </w:p>
    <w:p w14:paraId="34EE210A" w14:textId="77777777" w:rsidR="00043504" w:rsidRDefault="00000000">
      <w:pPr>
        <w:spacing w:before="200" w:after="100"/>
      </w:pPr>
      <w:r>
        <w:rPr>
          <w:rFonts w:ascii="Montserrat" w:eastAsia="Montserrat" w:hAnsi="Montserrat" w:cs="Montserrat"/>
          <w:b/>
          <w:bCs/>
          <w:color w:val="1B2A41"/>
          <w:sz w:val="21"/>
          <w:szCs w:val="21"/>
        </w:rPr>
        <w:t>8.2 For Funders</w:t>
      </w:r>
    </w:p>
    <w:p w14:paraId="2E7655E0" w14:textId="77777777" w:rsidR="00043504" w:rsidRDefault="00000000">
      <w:pPr>
        <w:spacing w:after="160" w:line="276" w:lineRule="auto"/>
        <w:jc w:val="both"/>
      </w:pPr>
      <w:r>
        <w:t>Funders evaluating proposals in this space may find it useful to assess whether a proposed program addresses more than one barrier category, given the evidence that single-barrier interventions tend to underperform multi-component approaches.</w:t>
      </w:r>
    </w:p>
    <w:p w14:paraId="0CC932AB" w14:textId="77777777" w:rsidR="00043504" w:rsidRDefault="00000000">
      <w:pPr>
        <w:spacing w:before="200" w:after="100"/>
      </w:pPr>
      <w:r>
        <w:rPr>
          <w:rFonts w:ascii="Montserrat" w:eastAsia="Montserrat" w:hAnsi="Montserrat" w:cs="Montserrat"/>
          <w:b/>
          <w:bCs/>
          <w:color w:val="1B2A41"/>
          <w:sz w:val="21"/>
          <w:szCs w:val="21"/>
        </w:rPr>
        <w:t>8.3 For Policy</w:t>
      </w:r>
    </w:p>
    <w:p w14:paraId="1DA977C1" w14:textId="77777777" w:rsidR="00043504" w:rsidRDefault="00000000">
      <w:pPr>
        <w:spacing w:after="160" w:line="276" w:lineRule="auto"/>
        <w:jc w:val="both"/>
      </w:pPr>
      <w:r>
        <w:t>At a systems level, the evidence suggests that policy investment in navigation and referral infrastructure — not solely in direct service capacity — may meaningfully improve access outcomes, particularly in fragmented local service landscapes.</w:t>
      </w:r>
    </w:p>
    <w:p w14:paraId="0963F258" w14:textId="77777777" w:rsidR="00043504" w:rsidRDefault="00000000">
      <w:pPr>
        <w:pStyle w:val="Heading1"/>
        <w:pBdr>
          <w:bottom w:val="single" w:sz="8" w:space="4" w:color="B98F45"/>
        </w:pBdr>
        <w:spacing w:before="400" w:after="200"/>
      </w:pPr>
      <w:r>
        <w:t>9. Recommendations</w:t>
      </w:r>
    </w:p>
    <w:p w14:paraId="5A54DB88" w14:textId="77777777" w:rsidR="00043504" w:rsidRDefault="00000000">
      <w:pPr>
        <w:spacing w:after="160" w:line="276" w:lineRule="auto"/>
        <w:jc w:val="both"/>
      </w:pPr>
      <w:r>
        <w:t>Based on the evidence synthesized in this report, Aspire offers the following recommendations for organizations, funders, and policymakers working to improve mental health access among underserved adults.</w:t>
      </w:r>
    </w:p>
    <w:p w14:paraId="0476C7C7" w14:textId="77777777" w:rsidR="00043504" w:rsidRDefault="00000000">
      <w:pPr>
        <w:pStyle w:val="ListParagraph"/>
        <w:numPr>
          <w:ilvl w:val="0"/>
          <w:numId w:val="2"/>
        </w:numPr>
        <w:spacing w:after="90"/>
      </w:pPr>
      <w:r>
        <w:t>Design programs around a stepped-care model that combines community-based, non-clinical entry points with subsidized clinical services.</w:t>
      </w:r>
    </w:p>
    <w:p w14:paraId="5BDAC8D3" w14:textId="77777777" w:rsidR="00043504" w:rsidRDefault="00000000">
      <w:pPr>
        <w:pStyle w:val="ListParagraph"/>
        <w:numPr>
          <w:ilvl w:val="0"/>
          <w:numId w:val="2"/>
        </w:numPr>
        <w:spacing w:after="90"/>
      </w:pPr>
      <w:r>
        <w:t>Invest in trusted community messengers — peer facilitators and community health workers — as a primary mechanism for reducing stigma-related barriers to initial engagement.</w:t>
      </w:r>
    </w:p>
    <w:p w14:paraId="735734F2" w14:textId="77777777" w:rsidR="00043504" w:rsidRDefault="00000000">
      <w:pPr>
        <w:pStyle w:val="ListParagraph"/>
        <w:numPr>
          <w:ilvl w:val="0"/>
          <w:numId w:val="2"/>
        </w:numPr>
        <w:spacing w:after="90"/>
      </w:pPr>
      <w:r>
        <w:t>Establish or strengthen centralized referral and navigation systems to reduce fragmentation-related drop-off between initial contact and appropriate care.</w:t>
      </w:r>
    </w:p>
    <w:p w14:paraId="73971023" w14:textId="77777777" w:rsidR="00043504" w:rsidRDefault="00000000">
      <w:pPr>
        <w:pStyle w:val="ListParagraph"/>
        <w:numPr>
          <w:ilvl w:val="0"/>
          <w:numId w:val="2"/>
        </w:numPr>
        <w:spacing w:after="90"/>
      </w:pPr>
      <w:r>
        <w:t>Prioritize funding and program models that address more than one barrier category simultaneously, given the evidence that compounding barriers require compounding solutions.</w:t>
      </w:r>
    </w:p>
    <w:p w14:paraId="05530209" w14:textId="77777777" w:rsidR="00043504" w:rsidRDefault="00000000">
      <w:pPr>
        <w:pStyle w:val="ListParagraph"/>
        <w:numPr>
          <w:ilvl w:val="0"/>
          <w:numId w:val="2"/>
        </w:numPr>
        <w:spacing w:after="90"/>
      </w:pPr>
      <w:r>
        <w:t>Support rigorous program-level evaluation of multi-component models to help close remaining gaps in the long-term outcome evidence base.</w:t>
      </w:r>
    </w:p>
    <w:p w14:paraId="5C81B55C" w14:textId="77777777" w:rsidR="00043504" w:rsidRDefault="00000000">
      <w:pPr>
        <w:pStyle w:val="Heading1"/>
        <w:pBdr>
          <w:bottom w:val="single" w:sz="8" w:space="4" w:color="B98F45"/>
        </w:pBdr>
        <w:spacing w:before="400" w:after="200"/>
      </w:pPr>
      <w:r>
        <w:t>10. Conclusion</w:t>
      </w:r>
    </w:p>
    <w:p w14:paraId="77177D0F" w14:textId="77777777" w:rsidR="00043504" w:rsidRDefault="00000000">
      <w:pPr>
        <w:spacing w:after="160" w:line="276" w:lineRule="auto"/>
        <w:jc w:val="both"/>
      </w:pPr>
      <w:r>
        <w:t>Barriers to mental health service access among underserved adults are structural, layered, and mutually reinforcing. Cost, stigma, and system fragmentation each present meaningful obstacles on their own, but the evidence reviewed in this report suggests that their combined effect is what most consistently prevents underserved adults from receiving needed care.</w:t>
      </w:r>
    </w:p>
    <w:p w14:paraId="5B25A534" w14:textId="77777777" w:rsidR="00043504" w:rsidRDefault="00000000">
      <w:pPr>
        <w:spacing w:after="160" w:line="276" w:lineRule="auto"/>
        <w:jc w:val="both"/>
      </w:pPr>
      <w:r>
        <w:t>Programs that address these barriers in combination — through low-barrier community entry points, subsidized clinical pathways, and coordinated referral systems — are best positioned to close this gap. This synthesis directly informed the design of the Community Mental Health Access Initiative described in Aspire's companion grant proposal, and is intended to serve as a practical evidence foundation for similar programs elsewhere.</w:t>
      </w:r>
    </w:p>
    <w:p w14:paraId="4E3FA65D" w14:textId="77777777" w:rsidR="00043504" w:rsidRDefault="00000000">
      <w:pPr>
        <w:pStyle w:val="Heading1"/>
        <w:pBdr>
          <w:bottom w:val="single" w:sz="8" w:space="4" w:color="B98F45"/>
        </w:pBdr>
        <w:spacing w:before="400" w:after="200"/>
      </w:pPr>
      <w:r>
        <w:t>References</w:t>
      </w:r>
    </w:p>
    <w:p w14:paraId="7ADE1BE4" w14:textId="77777777" w:rsidR="00043504" w:rsidRDefault="00000000">
      <w:pPr>
        <w:spacing w:after="160" w:line="276" w:lineRule="auto"/>
        <w:jc w:val="both"/>
      </w:pPr>
      <w:r>
        <w:lastRenderedPageBreak/>
        <w:t>As noted in the Portfolio Sample Disclosure, the following references are fictional composites created to demonstrate citation formatting and evidence integration. They do not represent real publications, authors, or data.</w:t>
      </w:r>
    </w:p>
    <w:p w14:paraId="35E0FF6D" w14:textId="77777777" w:rsidR="00043504" w:rsidRDefault="00000000">
      <w:pPr>
        <w:spacing w:after="140" w:line="264" w:lineRule="auto"/>
        <w:ind w:left="460" w:hanging="460"/>
      </w:pPr>
      <w:r>
        <w:rPr>
          <w:sz w:val="20"/>
          <w:szCs w:val="20"/>
        </w:rPr>
        <w:t>Alvarez, R., &amp; Munoz, T. (2023). Cost barriers and service initiation among low-income adults: A multi-site review. Journal of Community Health Policy, 18(2), 114–129. [Illustrative]</w:t>
      </w:r>
    </w:p>
    <w:p w14:paraId="13B3CD58" w14:textId="77777777" w:rsidR="00043504" w:rsidRDefault="00000000">
      <w:pPr>
        <w:spacing w:after="140" w:line="264" w:lineRule="auto"/>
        <w:ind w:left="460" w:hanging="460"/>
      </w:pPr>
      <w:r>
        <w:rPr>
          <w:sz w:val="20"/>
          <w:szCs w:val="20"/>
        </w:rPr>
        <w:t>Chen, L., &amp; Adebayo, K. (2022). Compounding barriers in underserved mental health access: A synthesis. Behavioral Health Systems Review, 9(4), 201–219. [Illustrative]</w:t>
      </w:r>
    </w:p>
    <w:p w14:paraId="73D96D27" w14:textId="77777777" w:rsidR="00043504" w:rsidRDefault="00000000">
      <w:pPr>
        <w:spacing w:after="140" w:line="264" w:lineRule="auto"/>
        <w:ind w:left="460" w:hanging="460"/>
      </w:pPr>
      <w:r>
        <w:rPr>
          <w:sz w:val="20"/>
          <w:szCs w:val="20"/>
        </w:rPr>
        <w:t>Community Health Policy Institute. (2022). Navigating fragmented care: A regional needs assessment on mental health system access. [Illustrative]</w:t>
      </w:r>
    </w:p>
    <w:p w14:paraId="773D563E" w14:textId="77777777" w:rsidR="00043504" w:rsidRDefault="00000000">
      <w:pPr>
        <w:spacing w:after="140" w:line="264" w:lineRule="auto"/>
        <w:ind w:left="460" w:hanging="460"/>
      </w:pPr>
      <w:r>
        <w:rPr>
          <w:sz w:val="20"/>
          <w:szCs w:val="20"/>
        </w:rPr>
        <w:t>Okafor, N., Singh, P., &amp; Delgado, M. (2021). Community health worker models and mental health engagement: A program evaluation synthesis. Journal of Applied Public Health, 15(1), 44–61. [Illustrative]</w:t>
      </w:r>
    </w:p>
    <w:p w14:paraId="07228A14" w14:textId="77777777" w:rsidR="00043504" w:rsidRDefault="00000000">
      <w:pPr>
        <w:spacing w:after="140" w:line="264" w:lineRule="auto"/>
        <w:ind w:left="460" w:hanging="460"/>
      </w:pPr>
      <w:r>
        <w:rPr>
          <w:sz w:val="20"/>
          <w:szCs w:val="20"/>
        </w:rPr>
        <w:t>Ramirez, S. (2020). Stigma, culture, and help-seeking among immigrant and older adult populations. Community Mental Health Quarterly, 27(3), 88–103. [Illustrative]</w:t>
      </w:r>
    </w:p>
    <w:sectPr w:rsidR="00043504">
      <w:headerReference w:type="default" r:id="rId7"/>
      <w:footerReference w:type="default" r:id="rId8"/>
      <w:pgSz w:w="12240" w:h="15840"/>
      <w:pgMar w:top="1080" w:right="1260" w:bottom="1080" w:left="126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EB24C8" w14:textId="77777777" w:rsidR="00B700AD" w:rsidRDefault="00B700AD">
      <w:r>
        <w:separator/>
      </w:r>
    </w:p>
  </w:endnote>
  <w:endnote w:type="continuationSeparator" w:id="0">
    <w:p w14:paraId="083AB7C7" w14:textId="77777777" w:rsidR="00B700AD" w:rsidRDefault="00B700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Inter">
    <w:altName w:val="Cambria"/>
    <w:panose1 w:val="00000000000000000000"/>
    <w:charset w:val="00"/>
    <w:family w:val="roman"/>
    <w:notTrueType/>
    <w:pitch w:val="default"/>
  </w:font>
  <w:font w:name="Montserrat">
    <w:charset w:val="00"/>
    <w:family w:val="auto"/>
    <w:pitch w:val="variable"/>
    <w:sig w:usb0="2000020F" w:usb1="00000003" w:usb2="00000000" w:usb3="00000000" w:csb0="00000197"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6528B" w14:textId="77777777" w:rsidR="00043504" w:rsidRDefault="00000000">
    <w:pPr>
      <w:pBdr>
        <w:top w:val="single" w:sz="6" w:space="4" w:color="B98F45"/>
      </w:pBdr>
      <w:tabs>
        <w:tab w:val="right" w:pos="9026"/>
      </w:tabs>
    </w:pPr>
    <w:r>
      <w:rPr>
        <w:color w:val="6E6E6E"/>
        <w:sz w:val="16"/>
        <w:szCs w:val="16"/>
      </w:rPr>
      <w:t>Aspire Research &amp; Consulting  |  Research. Funding. Impact.</w:t>
    </w:r>
    <w:r>
      <w:rPr>
        <w:sz w:val="16"/>
        <w:szCs w:val="16"/>
      </w:rPr>
      <w:tab/>
    </w:r>
    <w:r>
      <w:rPr>
        <w:color w:val="6E6E6E"/>
        <w:sz w:val="16"/>
        <w:szCs w:val="16"/>
      </w:rPr>
      <w:t xml:space="preserve">Page </w:t>
    </w:r>
    <w:r>
      <w:rPr>
        <w:color w:val="6E6E6E"/>
        <w:sz w:val="16"/>
        <w:szCs w:val="16"/>
      </w:rPr>
      <w:fldChar w:fldCharType="begin"/>
    </w:r>
    <w:r>
      <w:rPr>
        <w:color w:val="6E6E6E"/>
        <w:sz w:val="16"/>
        <w:szCs w:val="16"/>
      </w:rPr>
      <w:instrText>PAGE</w:instrText>
    </w:r>
    <w:r>
      <w:rPr>
        <w:color w:val="6E6E6E"/>
        <w:sz w:val="16"/>
        <w:szCs w:val="16"/>
      </w:rPr>
      <w:fldChar w:fldCharType="separate"/>
    </w:r>
    <w:r w:rsidR="005D75FA">
      <w:rPr>
        <w:noProof/>
        <w:color w:val="6E6E6E"/>
        <w:sz w:val="16"/>
        <w:szCs w:val="16"/>
      </w:rPr>
      <w:t>3</w:t>
    </w:r>
    <w:r>
      <w:rPr>
        <w:color w:val="6E6E6E"/>
        <w:sz w:val="16"/>
        <w:szCs w:val="16"/>
      </w:rPr>
      <w:fldChar w:fldCharType="end"/>
    </w:r>
    <w:r>
      <w:rPr>
        <w:color w:val="6E6E6E"/>
        <w:sz w:val="16"/>
        <w:szCs w:val="16"/>
      </w:rPr>
      <w:t xml:space="preserve"> of </w:t>
    </w:r>
    <w:r>
      <w:rPr>
        <w:color w:val="6E6E6E"/>
        <w:sz w:val="16"/>
        <w:szCs w:val="16"/>
      </w:rPr>
      <w:fldChar w:fldCharType="begin"/>
    </w:r>
    <w:r>
      <w:rPr>
        <w:color w:val="6E6E6E"/>
        <w:sz w:val="16"/>
        <w:szCs w:val="16"/>
      </w:rPr>
      <w:instrText>NUMPAGES</w:instrText>
    </w:r>
    <w:r>
      <w:rPr>
        <w:color w:val="6E6E6E"/>
        <w:sz w:val="16"/>
        <w:szCs w:val="16"/>
      </w:rPr>
      <w:fldChar w:fldCharType="separate"/>
    </w:r>
    <w:r w:rsidR="005D75FA">
      <w:rPr>
        <w:noProof/>
        <w:color w:val="6E6E6E"/>
        <w:sz w:val="16"/>
        <w:szCs w:val="16"/>
      </w:rPr>
      <w:t>4</w:t>
    </w:r>
    <w:r>
      <w:rPr>
        <w:color w:val="6E6E6E"/>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C4D0AE" w14:textId="77777777" w:rsidR="00B700AD" w:rsidRDefault="00B700AD">
      <w:r>
        <w:separator/>
      </w:r>
    </w:p>
  </w:footnote>
  <w:footnote w:type="continuationSeparator" w:id="0">
    <w:p w14:paraId="3E05C099" w14:textId="77777777" w:rsidR="00B700AD" w:rsidRDefault="00B700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E0737" w14:textId="77777777" w:rsidR="00043504" w:rsidRDefault="00000000">
    <w:pPr>
      <w:pBdr>
        <w:bottom w:val="single" w:sz="6" w:space="4" w:color="B98F45"/>
      </w:pBdr>
      <w:jc w:val="right"/>
    </w:pPr>
    <w:r>
      <w:rPr>
        <w:rFonts w:ascii="Montserrat" w:eastAsia="Montserrat" w:hAnsi="Montserrat" w:cs="Montserrat"/>
        <w:b/>
        <w:bCs/>
        <w:color w:val="1B2A41"/>
        <w:spacing w:val="10"/>
        <w:sz w:val="16"/>
        <w:szCs w:val="16"/>
      </w:rPr>
      <w:t>ASPIRE RESEARCH &amp; CONSULTING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7366D1"/>
    <w:multiLevelType w:val="hybridMultilevel"/>
    <w:tmpl w:val="429269AE"/>
    <w:lvl w:ilvl="0" w:tplc="D0E22F7A">
      <w:start w:val="1"/>
      <w:numFmt w:val="bullet"/>
      <w:lvlText w:val="●"/>
      <w:lvlJc w:val="left"/>
      <w:pPr>
        <w:ind w:left="720" w:hanging="360"/>
      </w:pPr>
    </w:lvl>
    <w:lvl w:ilvl="1" w:tplc="D262B2BA">
      <w:start w:val="1"/>
      <w:numFmt w:val="bullet"/>
      <w:lvlText w:val="○"/>
      <w:lvlJc w:val="left"/>
      <w:pPr>
        <w:ind w:left="1440" w:hanging="360"/>
      </w:pPr>
    </w:lvl>
    <w:lvl w:ilvl="2" w:tplc="0D7CC30C">
      <w:start w:val="1"/>
      <w:numFmt w:val="bullet"/>
      <w:lvlText w:val="■"/>
      <w:lvlJc w:val="left"/>
      <w:pPr>
        <w:ind w:left="2160" w:hanging="360"/>
      </w:pPr>
    </w:lvl>
    <w:lvl w:ilvl="3" w:tplc="28D4938A">
      <w:start w:val="1"/>
      <w:numFmt w:val="bullet"/>
      <w:lvlText w:val="●"/>
      <w:lvlJc w:val="left"/>
      <w:pPr>
        <w:ind w:left="2880" w:hanging="360"/>
      </w:pPr>
    </w:lvl>
    <w:lvl w:ilvl="4" w:tplc="B3543B7E">
      <w:start w:val="1"/>
      <w:numFmt w:val="bullet"/>
      <w:lvlText w:val="○"/>
      <w:lvlJc w:val="left"/>
      <w:pPr>
        <w:ind w:left="3600" w:hanging="360"/>
      </w:pPr>
    </w:lvl>
    <w:lvl w:ilvl="5" w:tplc="A2D6707C">
      <w:start w:val="1"/>
      <w:numFmt w:val="bullet"/>
      <w:lvlText w:val="■"/>
      <w:lvlJc w:val="left"/>
      <w:pPr>
        <w:ind w:left="4320" w:hanging="360"/>
      </w:pPr>
    </w:lvl>
    <w:lvl w:ilvl="6" w:tplc="A20082C8">
      <w:start w:val="1"/>
      <w:numFmt w:val="bullet"/>
      <w:lvlText w:val="●"/>
      <w:lvlJc w:val="left"/>
      <w:pPr>
        <w:ind w:left="5040" w:hanging="360"/>
      </w:pPr>
    </w:lvl>
    <w:lvl w:ilvl="7" w:tplc="D4CAFFC6">
      <w:start w:val="1"/>
      <w:numFmt w:val="bullet"/>
      <w:lvlText w:val="●"/>
      <w:lvlJc w:val="left"/>
      <w:pPr>
        <w:ind w:left="5760" w:hanging="360"/>
      </w:pPr>
    </w:lvl>
    <w:lvl w:ilvl="8" w:tplc="DE4C98C0">
      <w:start w:val="1"/>
      <w:numFmt w:val="bullet"/>
      <w:lvlText w:val="●"/>
      <w:lvlJc w:val="left"/>
      <w:pPr>
        <w:ind w:left="6480" w:hanging="360"/>
      </w:pPr>
    </w:lvl>
  </w:abstractNum>
  <w:abstractNum w:abstractNumId="1" w15:restartNumberingAfterBreak="0">
    <w:nsid w:val="68AD0974"/>
    <w:multiLevelType w:val="hybridMultilevel"/>
    <w:tmpl w:val="9E4073DC"/>
    <w:lvl w:ilvl="0" w:tplc="4C92D794">
      <w:start w:val="1"/>
      <w:numFmt w:val="bullet"/>
      <w:lvlText w:val="•"/>
      <w:lvlJc w:val="left"/>
      <w:pPr>
        <w:ind w:left="460" w:hanging="260"/>
      </w:pPr>
    </w:lvl>
    <w:lvl w:ilvl="1" w:tplc="08284B38">
      <w:numFmt w:val="decimal"/>
      <w:lvlText w:val=""/>
      <w:lvlJc w:val="left"/>
    </w:lvl>
    <w:lvl w:ilvl="2" w:tplc="1E726742">
      <w:numFmt w:val="decimal"/>
      <w:lvlText w:val=""/>
      <w:lvlJc w:val="left"/>
    </w:lvl>
    <w:lvl w:ilvl="3" w:tplc="C18A7E58">
      <w:numFmt w:val="decimal"/>
      <w:lvlText w:val=""/>
      <w:lvlJc w:val="left"/>
    </w:lvl>
    <w:lvl w:ilvl="4" w:tplc="9AF8B452">
      <w:numFmt w:val="decimal"/>
      <w:lvlText w:val=""/>
      <w:lvlJc w:val="left"/>
    </w:lvl>
    <w:lvl w:ilvl="5" w:tplc="1F7E9602">
      <w:numFmt w:val="decimal"/>
      <w:lvlText w:val=""/>
      <w:lvlJc w:val="left"/>
    </w:lvl>
    <w:lvl w:ilvl="6" w:tplc="63BCAC32">
      <w:numFmt w:val="decimal"/>
      <w:lvlText w:val=""/>
      <w:lvlJc w:val="left"/>
    </w:lvl>
    <w:lvl w:ilvl="7" w:tplc="7EDC53A4">
      <w:numFmt w:val="decimal"/>
      <w:lvlText w:val=""/>
      <w:lvlJc w:val="left"/>
    </w:lvl>
    <w:lvl w:ilvl="8" w:tplc="43126A0A">
      <w:numFmt w:val="decimal"/>
      <w:lvlText w:val=""/>
      <w:lvlJc w:val="left"/>
    </w:lvl>
  </w:abstractNum>
  <w:num w:numId="1" w16cid:durableId="870607701">
    <w:abstractNumId w:val="0"/>
    <w:lvlOverride w:ilvl="0">
      <w:startOverride w:val="1"/>
    </w:lvlOverride>
  </w:num>
  <w:num w:numId="2" w16cid:durableId="904795833">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3504"/>
    <w:rsid w:val="00043504"/>
    <w:rsid w:val="005D75FA"/>
    <w:rsid w:val="00B700AD"/>
    <w:rsid w:val="00F804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FD1D2"/>
  <w15:docId w15:val="{8C6C8197-AF73-4BC3-9150-4DD01B78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Inter" w:eastAsia="Inter" w:hAnsi="Inter" w:cs="Inter"/>
        <w:color w:val="222222"/>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rFonts w:ascii="Montserrat" w:eastAsia="Montserrat" w:hAnsi="Montserrat" w:cs="Montserrat"/>
      <w:b/>
      <w:bCs/>
      <w:color w:val="1B2A41"/>
      <w:sz w:val="30"/>
      <w:szCs w:val="30"/>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2457</Words>
  <Characters>14006</Characters>
  <Application>Microsoft Office Word</Application>
  <DocSecurity>0</DocSecurity>
  <Lines>116</Lines>
  <Paragraphs>32</Paragraphs>
  <ScaleCrop>false</ScaleCrop>
  <Company/>
  <LinksUpToDate>false</LinksUpToDate>
  <CharactersWithSpaces>16431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HomePC</cp:lastModifiedBy>
  <cp:revision>2</cp:revision>
  <dcterms:created xsi:type="dcterms:W3CDTF">2026-08-16T06:56:00Z</dcterms:created>
  <dcterms:modified xsi:type="dcterms:W3CDTF">2026-08-16T06:56:00Z</dcterms:modified>
</cp:coreProperties>
</file>