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7717" w14:textId="77777777" w:rsidR="006A6081" w:rsidRDefault="006A6081">
      <w:pPr>
        <w:spacing w:before="2200"/>
      </w:pPr>
    </w:p>
    <w:p w14:paraId="1BF566D4" w14:textId="77777777" w:rsidR="006A6081" w:rsidRDefault="00000000">
      <w:pPr>
        <w:jc w:val="center"/>
      </w:pPr>
      <w:r>
        <w:rPr>
          <w:rFonts w:ascii="Montserrat" w:eastAsia="Montserrat" w:hAnsi="Montserrat" w:cs="Montserrat"/>
          <w:b/>
          <w:bCs/>
          <w:color w:val="1B2A41"/>
          <w:spacing w:val="20"/>
          <w:sz w:val="30"/>
          <w:szCs w:val="30"/>
        </w:rPr>
        <w:t>ASPIRE RESEARCH &amp; CONSULTING</w:t>
      </w:r>
    </w:p>
    <w:p w14:paraId="307692B5" w14:textId="77777777" w:rsidR="006A6081" w:rsidRDefault="00000000">
      <w:pPr>
        <w:spacing w:after="900"/>
        <w:jc w:val="center"/>
      </w:pPr>
      <w:r>
        <w:rPr>
          <w:i/>
          <w:iCs/>
          <w:color w:val="B98F45"/>
          <w:sz w:val="20"/>
          <w:szCs w:val="20"/>
        </w:rPr>
        <w:t>Research. Funding. Impact.</w:t>
      </w:r>
    </w:p>
    <w:p w14:paraId="4FE6EC5D" w14:textId="77777777" w:rsidR="006A6081" w:rsidRDefault="00000000">
      <w:pPr>
        <w:spacing w:before="800" w:after="200"/>
        <w:jc w:val="center"/>
      </w:pPr>
      <w:r>
        <w:rPr>
          <w:rFonts w:ascii="Montserrat" w:eastAsia="Montserrat" w:hAnsi="Montserrat" w:cs="Montserrat"/>
          <w:b/>
          <w:bCs/>
          <w:color w:val="1B2A41"/>
          <w:sz w:val="36"/>
          <w:szCs w:val="36"/>
        </w:rPr>
        <w:t>COMMUNITY HEALTH PROGRAM IMPLEMENTATION REPORT</w:t>
      </w:r>
    </w:p>
    <w:p w14:paraId="690697FB" w14:textId="77777777" w:rsidR="006A6081" w:rsidRDefault="00000000">
      <w:pPr>
        <w:spacing w:after="100"/>
        <w:jc w:val="center"/>
      </w:pPr>
      <w:r>
        <w:rPr>
          <w:color w:val="6E6E6E"/>
        </w:rPr>
        <w:t>A Technical Report Prepared for</w:t>
      </w:r>
    </w:p>
    <w:p w14:paraId="3D015D1D" w14:textId="77777777" w:rsidR="006A6081" w:rsidRDefault="00000000">
      <w:pPr>
        <w:spacing w:after="100"/>
        <w:jc w:val="center"/>
      </w:pPr>
      <w:r>
        <w:rPr>
          <w:rFonts w:ascii="Montserrat" w:eastAsia="Montserrat" w:hAnsi="Montserrat" w:cs="Montserrat"/>
          <w:b/>
          <w:bCs/>
          <w:color w:val="2F4A3D"/>
          <w:sz w:val="26"/>
          <w:szCs w:val="26"/>
        </w:rPr>
        <w:t>Community Wellness Initiative (CWI)</w:t>
      </w:r>
    </w:p>
    <w:p w14:paraId="785DEEB5" w14:textId="77777777" w:rsidR="006A6081" w:rsidRDefault="00000000">
      <w:pPr>
        <w:spacing w:after="700"/>
        <w:jc w:val="center"/>
      </w:pPr>
      <w:r>
        <w:rPr>
          <w:color w:val="6E6E6E"/>
          <w:sz w:val="20"/>
          <w:szCs w:val="20"/>
        </w:rPr>
        <w:t>Community Health Outreach Program — Reporting Period: January–December 2026</w:t>
      </w:r>
    </w:p>
    <w:p w14:paraId="469B9967" w14:textId="77777777" w:rsidR="006A6081" w:rsidRDefault="00000000">
      <w:pPr>
        <w:spacing w:after="60"/>
        <w:jc w:val="center"/>
      </w:pPr>
      <w:r>
        <w:rPr>
          <w:rFonts w:ascii="Montserrat" w:eastAsia="Montserrat" w:hAnsi="Montserrat" w:cs="Montserrat"/>
          <w:b/>
          <w:bCs/>
          <w:color w:val="B98F45"/>
          <w:spacing w:val="10"/>
          <w:sz w:val="20"/>
          <w:szCs w:val="20"/>
        </w:rPr>
        <w:t>PORTFOLIO SAMPLE — ILLUSTRATIVE DOCUMENT</w:t>
      </w:r>
    </w:p>
    <w:p w14:paraId="5A58E3CD" w14:textId="77777777" w:rsidR="006A6081" w:rsidRDefault="00000000">
      <w:pPr>
        <w:spacing w:after="1200"/>
        <w:jc w:val="center"/>
      </w:pPr>
      <w:r>
        <w:rPr>
          <w:color w:val="6E6E6E"/>
          <w:sz w:val="20"/>
          <w:szCs w:val="20"/>
        </w:rPr>
        <w:t>Prepared by Aspire Research &amp; Consulting</w:t>
      </w:r>
    </w:p>
    <w:p w14:paraId="1F281215" w14:textId="77777777" w:rsidR="006A6081" w:rsidRDefault="00000000">
      <w:pPr>
        <w:spacing w:before="2400"/>
        <w:jc w:val="center"/>
      </w:pPr>
      <w:r>
        <w:rPr>
          <w:color w:val="6E6E6E"/>
          <w:sz w:val="20"/>
          <w:szCs w:val="20"/>
        </w:rPr>
        <w:t>August 2026</w:t>
      </w:r>
    </w:p>
    <w:p w14:paraId="5F4A649A" w14:textId="77777777" w:rsidR="006A6081" w:rsidRDefault="006A6081">
      <w:pPr>
        <w:sectPr w:rsidR="006A6081">
          <w:pgSz w:w="12240" w:h="15840"/>
          <w:pgMar w:top="1080" w:right="1260" w:bottom="1080" w:left="1260" w:header="708" w:footer="708" w:gutter="0"/>
          <w:cols w:space="720"/>
          <w:docGrid w:linePitch="360"/>
        </w:sectPr>
      </w:pPr>
    </w:p>
    <w:p w14:paraId="440251E5" w14:textId="77777777" w:rsidR="006A6081" w:rsidRDefault="00000000">
      <w:pPr>
        <w:pStyle w:val="Heading1"/>
        <w:pBdr>
          <w:bottom w:val="single" w:sz="8" w:space="4" w:color="B98F45"/>
        </w:pBdr>
        <w:spacing w:before="400" w:after="200"/>
      </w:pPr>
      <w:r>
        <w:lastRenderedPageBreak/>
        <w:t>Portfolio Sample Disclosure</w:t>
      </w:r>
    </w:p>
    <w:p w14:paraId="280C91E3" w14:textId="77777777" w:rsidR="006A6081" w:rsidRDefault="00000000">
      <w:pPr>
        <w:pBdr>
          <w:top w:val="single" w:sz="6" w:space="8" w:color="B98F45"/>
          <w:left w:val="single" w:sz="6" w:space="8" w:color="B98F45"/>
          <w:bottom w:val="single" w:sz="6" w:space="8" w:color="B98F45"/>
          <w:right w:val="single" w:sz="6" w:space="8" w:color="B98F45"/>
        </w:pBdr>
        <w:shd w:val="clear" w:color="auto" w:fill="F3F2EF"/>
        <w:spacing w:before="200" w:after="400"/>
      </w:pPr>
      <w:r>
        <w:rPr>
          <w:i/>
          <w:iCs/>
          <w:color w:val="1B2A41"/>
          <w:sz w:val="20"/>
          <w:szCs w:val="20"/>
        </w:rPr>
        <w:t>This document is an illustrative example created by Aspire Research &amp; Consulting to demonstrate technical documentation and program reporting capabilities. Community Wellness Initiative (CWI), the Community Health Outreach Program, and all associated data, statistics, and narratives in this report are fictional and created for demonstration purposes only. No real program has been evaluated, and no real organizational data has been used. Any resemblance to a real program or organization is coincidental.</w:t>
      </w:r>
    </w:p>
    <w:p w14:paraId="05458730" w14:textId="77777777" w:rsidR="006A6081" w:rsidRDefault="00000000">
      <w:pPr>
        <w:spacing w:after="160" w:line="276" w:lineRule="auto"/>
        <w:jc w:val="both"/>
      </w:pPr>
      <w:r>
        <w:t>This report is the fourth of five flagship portfolio pieces prepared by Aspire Research &amp; Consulting. Where Sample 3 demonstrated Aspire's capability to synthesize external research evidence, this report demonstrates a different capability: turning an organization's own program data and activities into clear, professional, funder- and board-ready documentation. It reflects CWI's existing Community Health Outreach Program referenced in the organizational background of Aspire's companion grant proposal, reported here for an illustrative 2026 program year.</w:t>
      </w:r>
    </w:p>
    <w:p w14:paraId="575FE81F" w14:textId="77777777" w:rsidR="006A6081" w:rsidRDefault="00000000">
      <w:r>
        <w:br w:type="page"/>
      </w:r>
    </w:p>
    <w:p w14:paraId="1558C322" w14:textId="77777777" w:rsidR="006A6081" w:rsidRDefault="00000000">
      <w:pPr>
        <w:pStyle w:val="Heading1"/>
        <w:pBdr>
          <w:bottom w:val="single" w:sz="8" w:space="4" w:color="B98F45"/>
        </w:pBdr>
        <w:spacing w:before="400" w:after="200"/>
      </w:pPr>
      <w:r>
        <w:lastRenderedPageBreak/>
        <w:t>Table of Contents</w:t>
      </w:r>
    </w:p>
    <w:p w14:paraId="0942A8FA" w14:textId="77777777" w:rsidR="006A6081" w:rsidRDefault="00000000">
      <w:pPr>
        <w:spacing w:after="170"/>
      </w:pPr>
      <w:r>
        <w:t>Executive Summary</w:t>
      </w:r>
    </w:p>
    <w:p w14:paraId="5D592615" w14:textId="77777777" w:rsidR="006A6081" w:rsidRDefault="00000000">
      <w:pPr>
        <w:spacing w:after="170"/>
      </w:pPr>
      <w:r>
        <w:t>1. Program Overview</w:t>
      </w:r>
    </w:p>
    <w:p w14:paraId="4016D45D" w14:textId="77777777" w:rsidR="006A6081" w:rsidRDefault="00000000">
      <w:pPr>
        <w:spacing w:after="170"/>
      </w:pPr>
      <w:r>
        <w:t>2. Program Objectives</w:t>
      </w:r>
    </w:p>
    <w:p w14:paraId="46DDBA5E" w14:textId="77777777" w:rsidR="006A6081" w:rsidRDefault="00000000">
      <w:pPr>
        <w:spacing w:after="170"/>
      </w:pPr>
      <w:r>
        <w:t>3. Implementation Activities</w:t>
      </w:r>
    </w:p>
    <w:p w14:paraId="43438609" w14:textId="77777777" w:rsidR="006A6081" w:rsidRDefault="00000000">
      <w:pPr>
        <w:spacing w:after="170"/>
      </w:pPr>
      <w:r>
        <w:t>4. Beneficiaries Reached</w:t>
      </w:r>
    </w:p>
    <w:p w14:paraId="1079D19A" w14:textId="77777777" w:rsidR="006A6081" w:rsidRDefault="00000000">
      <w:pPr>
        <w:spacing w:after="170"/>
      </w:pPr>
      <w:r>
        <w:t>5. Outputs</w:t>
      </w:r>
    </w:p>
    <w:p w14:paraId="2C6ABB9E" w14:textId="77777777" w:rsidR="006A6081" w:rsidRDefault="00000000">
      <w:pPr>
        <w:spacing w:after="170"/>
      </w:pPr>
      <w:r>
        <w:t>6. Outcomes</w:t>
      </w:r>
    </w:p>
    <w:p w14:paraId="15AC587E" w14:textId="77777777" w:rsidR="006A6081" w:rsidRDefault="00000000">
      <w:pPr>
        <w:spacing w:after="170"/>
      </w:pPr>
      <w:r>
        <w:t>7. Implementation Challenges</w:t>
      </w:r>
    </w:p>
    <w:p w14:paraId="0FCBA72D" w14:textId="77777777" w:rsidR="006A6081" w:rsidRDefault="00000000">
      <w:pPr>
        <w:spacing w:after="170"/>
      </w:pPr>
      <w:r>
        <w:t>8. Lessons Learned</w:t>
      </w:r>
    </w:p>
    <w:p w14:paraId="12D9352E" w14:textId="77777777" w:rsidR="006A6081" w:rsidRDefault="00000000">
      <w:pPr>
        <w:spacing w:after="170"/>
      </w:pPr>
      <w:r>
        <w:t>9. Recommendations</w:t>
      </w:r>
    </w:p>
    <w:p w14:paraId="31D9D24B" w14:textId="77777777" w:rsidR="006A6081" w:rsidRDefault="00000000">
      <w:pPr>
        <w:spacing w:after="170"/>
      </w:pPr>
      <w:r>
        <w:t>10. Next Steps</w:t>
      </w:r>
    </w:p>
    <w:p w14:paraId="0C656403" w14:textId="77777777" w:rsidR="006A6081" w:rsidRDefault="00000000">
      <w:pPr>
        <w:spacing w:after="170"/>
      </w:pPr>
      <w:r>
        <w:t>Appendices</w:t>
      </w:r>
    </w:p>
    <w:p w14:paraId="28BA759F" w14:textId="77777777" w:rsidR="006A6081" w:rsidRDefault="00000000">
      <w:r>
        <w:br w:type="page"/>
      </w:r>
    </w:p>
    <w:p w14:paraId="143F26E3" w14:textId="77777777" w:rsidR="006A6081" w:rsidRDefault="00000000">
      <w:pPr>
        <w:pStyle w:val="Heading1"/>
        <w:pBdr>
          <w:bottom w:val="single" w:sz="8" w:space="4" w:color="B98F45"/>
        </w:pBdr>
        <w:spacing w:before="400" w:after="200"/>
      </w:pPr>
      <w:r>
        <w:lastRenderedPageBreak/>
        <w:t>Executive Summary</w:t>
      </w:r>
    </w:p>
    <w:p w14:paraId="55C388F0" w14:textId="77777777" w:rsidR="006A6081" w:rsidRDefault="00000000">
      <w:pPr>
        <w:spacing w:after="160" w:line="276" w:lineRule="auto"/>
        <w:jc w:val="both"/>
      </w:pPr>
      <w:r>
        <w:t>This report documents the implementation and results of Community Wellness Initiative's (CWI) Community Health Outreach Program for the January–December 2026 reporting period. The program combines community health liaison outreach, recurring wellness education workshops, and referral coordination with two partner federally qualified health centers (FQHCs) to connect Ashford County residents with primary care and preventive health resources.</w:t>
      </w:r>
    </w:p>
    <w:p w14:paraId="49693B0D" w14:textId="77777777" w:rsidR="006A6081" w:rsidRDefault="00000000">
      <w:pPr>
        <w:spacing w:after="160" w:line="276" w:lineRule="auto"/>
        <w:jc w:val="both"/>
      </w:pPr>
      <w:r>
        <w:t>During the reporting period, the program's four community health liaisons made 742 individual resident contacts, delivered 46 wellness education workshops across four neighborhoods, and completed 318 warm referrals to partner health centers and other community providers. Post-workshop surveys indicate that 81% of participants reported increased understanding of available health resources, and 74% of referred residents completed their first scheduled appointment, exceeding the program's year-start target of 65%.</w:t>
      </w:r>
    </w:p>
    <w:p w14:paraId="650B2FB9" w14:textId="77777777" w:rsidR="006A6081" w:rsidRDefault="00000000">
      <w:pPr>
        <w:spacing w:after="160" w:line="276" w:lineRule="auto"/>
        <w:jc w:val="both"/>
      </w:pPr>
      <w:r>
        <w:t>This report presents the program's objectives, implementation activities, beneficiary reach, outputs, and outcomes for the year, along with an honest account of implementation challenges, lessons learned, and recommendations for the 2027 program year.</w:t>
      </w:r>
    </w:p>
    <w:p w14:paraId="7932A96A" w14:textId="77777777" w:rsidR="006A6081" w:rsidRDefault="00000000">
      <w:pPr>
        <w:pStyle w:val="Heading1"/>
        <w:pBdr>
          <w:bottom w:val="single" w:sz="8" w:space="4" w:color="B98F45"/>
        </w:pBdr>
        <w:spacing w:before="400" w:after="200"/>
      </w:pPr>
      <w:r>
        <w:t>1. Program Overview</w:t>
      </w:r>
    </w:p>
    <w:p w14:paraId="279A4637" w14:textId="77777777" w:rsidR="006A6081" w:rsidRDefault="00000000">
      <w:pPr>
        <w:spacing w:after="160" w:line="276" w:lineRule="auto"/>
        <w:jc w:val="both"/>
      </w:pPr>
      <w:r>
        <w:t>The Community Health Outreach Program is CWI's longest-running initiative, operating continuously since the organization's founding in 2019. The program's purpose is to serve as a trusted, community-based bridge between Ashford County residents and the formal health care system, particularly for residents who are uninsured, underinsured, or unfamiliar with navigating local health services.</w:t>
      </w:r>
    </w:p>
    <w:p w14:paraId="64846573" w14:textId="77777777" w:rsidR="006A6081" w:rsidRDefault="00000000">
      <w:pPr>
        <w:spacing w:after="160" w:line="276" w:lineRule="auto"/>
        <w:jc w:val="both"/>
      </w:pPr>
      <w:r>
        <w:t>The program operates through three integrated components: a community health liaison outreach team, a recurring wellness education workshop series, and a referral coordination function connecting residents to CWI's two FQHC partners and other county health and social service providers.</w:t>
      </w:r>
    </w:p>
    <w:p w14:paraId="4634D2D4" w14:textId="77777777" w:rsidR="006A6081" w:rsidRDefault="00000000">
      <w:pPr>
        <w:spacing w:before="200" w:after="100"/>
      </w:pPr>
      <w:r>
        <w:rPr>
          <w:rFonts w:ascii="Montserrat" w:eastAsia="Montserrat" w:hAnsi="Montserrat" w:cs="Montserrat"/>
          <w:b/>
          <w:bCs/>
          <w:color w:val="1B2A41"/>
          <w:sz w:val="21"/>
          <w:szCs w:val="21"/>
        </w:rPr>
        <w:t>1.1 Program Setting</w:t>
      </w:r>
    </w:p>
    <w:p w14:paraId="7388F7FD" w14:textId="77777777" w:rsidR="006A6081" w:rsidRDefault="00000000">
      <w:pPr>
        <w:spacing w:after="160" w:line="276" w:lineRule="auto"/>
        <w:jc w:val="both"/>
      </w:pPr>
      <w:r>
        <w:t>The program operates across four Ashford County neighborhoods previously identified through CWI's community health needs assessment as having limited existing health infrastructure and higher-than-average rates of unmet preventive care need.</w:t>
      </w:r>
    </w:p>
    <w:p w14:paraId="689E911B" w14:textId="77777777" w:rsidR="006A6081" w:rsidRDefault="00000000">
      <w:pPr>
        <w:pStyle w:val="Heading1"/>
        <w:pBdr>
          <w:bottom w:val="single" w:sz="8" w:space="4" w:color="B98F45"/>
        </w:pBdr>
        <w:spacing w:before="400" w:after="200"/>
      </w:pPr>
      <w:r>
        <w:t>2. Program Objectives</w:t>
      </w:r>
    </w:p>
    <w:p w14:paraId="26319DBD" w14:textId="77777777" w:rsidR="006A6081" w:rsidRDefault="00000000">
      <w:pPr>
        <w:spacing w:after="160" w:line="276" w:lineRule="auto"/>
        <w:jc w:val="both"/>
      </w:pPr>
      <w:r>
        <w:t>For the 2026 reporting period, the Community Health Outreach Program was guided by the following objectives:</w:t>
      </w:r>
    </w:p>
    <w:p w14:paraId="587D28D6" w14:textId="77777777" w:rsidR="006A6081" w:rsidRDefault="00000000">
      <w:pPr>
        <w:pStyle w:val="ListParagraph"/>
        <w:numPr>
          <w:ilvl w:val="0"/>
          <w:numId w:val="2"/>
        </w:numPr>
        <w:spacing w:after="90"/>
      </w:pPr>
      <w:r>
        <w:t>Maintain or expand the volume of direct community contacts made through the liaison outreach team relative to the prior program year.</w:t>
      </w:r>
    </w:p>
    <w:p w14:paraId="54947707" w14:textId="77777777" w:rsidR="006A6081" w:rsidRDefault="00000000">
      <w:pPr>
        <w:pStyle w:val="ListParagraph"/>
        <w:numPr>
          <w:ilvl w:val="0"/>
          <w:numId w:val="2"/>
        </w:numPr>
        <w:spacing w:after="90"/>
      </w:pPr>
      <w:r>
        <w:t>Deliver a consistent schedule of wellness education workshops across all four target neighborhoods.</w:t>
      </w:r>
    </w:p>
    <w:p w14:paraId="5EA726DA" w14:textId="77777777" w:rsidR="006A6081" w:rsidRDefault="00000000">
      <w:pPr>
        <w:pStyle w:val="ListParagraph"/>
        <w:numPr>
          <w:ilvl w:val="0"/>
          <w:numId w:val="2"/>
        </w:numPr>
        <w:spacing w:after="90"/>
      </w:pPr>
      <w:r>
        <w:t>Achieve a referral completion rate (first scheduled appointment attended) of at least 65% among residents referred to partner health centers.</w:t>
      </w:r>
    </w:p>
    <w:p w14:paraId="4D8A54D5" w14:textId="77777777" w:rsidR="006A6081" w:rsidRDefault="00000000">
      <w:pPr>
        <w:pStyle w:val="ListParagraph"/>
        <w:numPr>
          <w:ilvl w:val="0"/>
          <w:numId w:val="2"/>
        </w:numPr>
        <w:spacing w:after="90"/>
      </w:pPr>
      <w:r>
        <w:lastRenderedPageBreak/>
        <w:t>Maintain participant satisfaction with wellness workshops at 80% or above on post-session surveys.</w:t>
      </w:r>
    </w:p>
    <w:p w14:paraId="4EE54ED6" w14:textId="77777777" w:rsidR="006A6081" w:rsidRDefault="00000000">
      <w:pPr>
        <w:pStyle w:val="Heading1"/>
        <w:pBdr>
          <w:bottom w:val="single" w:sz="8" w:space="4" w:color="B98F45"/>
        </w:pBdr>
        <w:spacing w:before="400" w:after="200"/>
      </w:pPr>
      <w:r>
        <w:t>3. Implementation Activities</w:t>
      </w:r>
    </w:p>
    <w:p w14:paraId="4E0E5151" w14:textId="77777777" w:rsidR="006A6081" w:rsidRDefault="00000000">
      <w:pPr>
        <w:spacing w:after="160" w:line="276" w:lineRule="auto"/>
        <w:jc w:val="both"/>
      </w:pPr>
      <w:r>
        <w:t>The program's activities were delivered on a rolling basis throughout the 2026 calendar year, with staffing and scheduling adjusted seasonally to reflect community attendance patterns observed in prior years.</w:t>
      </w:r>
    </w:p>
    <w:p w14:paraId="165267A5" w14:textId="77777777" w:rsidR="006A6081" w:rsidRDefault="00000000">
      <w:pPr>
        <w:spacing w:before="200" w:after="100"/>
      </w:pPr>
      <w:r>
        <w:rPr>
          <w:rFonts w:ascii="Montserrat" w:eastAsia="Montserrat" w:hAnsi="Montserrat" w:cs="Montserrat"/>
          <w:b/>
          <w:bCs/>
          <w:color w:val="1B2A41"/>
          <w:sz w:val="21"/>
          <w:szCs w:val="21"/>
        </w:rPr>
        <w:t>3.1 Community Health Liaison Outreach</w:t>
      </w:r>
    </w:p>
    <w:p w14:paraId="725EE8E6" w14:textId="77777777" w:rsidR="006A6081" w:rsidRDefault="00000000">
      <w:pPr>
        <w:spacing w:after="160" w:line="276" w:lineRule="auto"/>
        <w:jc w:val="both"/>
      </w:pPr>
      <w:r>
        <w:t>Four community health liaisons conducted direct outreach through door-to-door contact, tabling at community events, and follow-up visits with previously engaged residents. Liaisons conducted brief needs screenings and connected residents to either the wellness workshop series or directly to referral coordination, depending on identified need.</w:t>
      </w:r>
    </w:p>
    <w:p w14:paraId="3E19B617" w14:textId="77777777" w:rsidR="006A6081" w:rsidRDefault="00000000">
      <w:pPr>
        <w:spacing w:before="200" w:after="100"/>
      </w:pPr>
      <w:r>
        <w:rPr>
          <w:rFonts w:ascii="Montserrat" w:eastAsia="Montserrat" w:hAnsi="Montserrat" w:cs="Montserrat"/>
          <w:b/>
          <w:bCs/>
          <w:color w:val="1B2A41"/>
          <w:sz w:val="21"/>
          <w:szCs w:val="21"/>
        </w:rPr>
        <w:t>3.2 Wellness Education Workshops</w:t>
      </w:r>
    </w:p>
    <w:p w14:paraId="7B6B77FA" w14:textId="77777777" w:rsidR="006A6081" w:rsidRDefault="00000000">
      <w:pPr>
        <w:spacing w:after="160" w:line="276" w:lineRule="auto"/>
        <w:jc w:val="both"/>
      </w:pPr>
      <w:r>
        <w:t>The program delivered a recurring workshop series covering topics including preventive care basics, chronic disease management, nutrition, and navigating health insurance and county assistance programs. Workshops were held on a rotating schedule across the four target neighborhoods in partnership with local libraries and community centers.</w:t>
      </w:r>
    </w:p>
    <w:p w14:paraId="64E6BA0A" w14:textId="77777777" w:rsidR="006A6081" w:rsidRDefault="00000000">
      <w:pPr>
        <w:spacing w:before="200" w:after="100"/>
      </w:pPr>
      <w:r>
        <w:rPr>
          <w:rFonts w:ascii="Montserrat" w:eastAsia="Montserrat" w:hAnsi="Montserrat" w:cs="Montserrat"/>
          <w:b/>
          <w:bCs/>
          <w:color w:val="1B2A41"/>
          <w:sz w:val="21"/>
          <w:szCs w:val="21"/>
        </w:rPr>
        <w:t>3.3 Referral Coordination</w:t>
      </w:r>
    </w:p>
    <w:p w14:paraId="027BF42B" w14:textId="77777777" w:rsidR="006A6081" w:rsidRDefault="00000000">
      <w:pPr>
        <w:spacing w:after="160" w:line="276" w:lineRule="auto"/>
        <w:jc w:val="both"/>
      </w:pPr>
      <w:r>
        <w:t>CWI's referral coordination function tracked resident referrals from initial contact through appointment scheduling and, where residents consented to follow-up, appointment completion. Referrals were made to CWI's two FQHC partners as well as to county behavioral health, dental, and social service providers as appropriate.</w:t>
      </w:r>
    </w:p>
    <w:p w14:paraId="6852C3A0" w14:textId="77777777" w:rsidR="006A6081" w:rsidRDefault="00000000">
      <w:pPr>
        <w:pStyle w:val="Heading1"/>
        <w:pBdr>
          <w:bottom w:val="single" w:sz="8" w:space="4" w:color="B98F45"/>
        </w:pBdr>
        <w:spacing w:before="400" w:after="200"/>
      </w:pPr>
      <w:r>
        <w:t>4. Beneficiaries Reached</w:t>
      </w:r>
    </w:p>
    <w:p w14:paraId="4A27BF32" w14:textId="77777777" w:rsidR="006A6081" w:rsidRDefault="00000000">
      <w:pPr>
        <w:spacing w:after="160" w:line="276" w:lineRule="auto"/>
        <w:jc w:val="both"/>
      </w:pPr>
      <w:r>
        <w:t>The program reached 742 unique residents across its four target neighborhoods during the 2026 reporting period, a 9% increase over the prior program year. Table 1 presents the neighborhood-level breakdown of residents reached, workshops held, and referrals made.</w:t>
      </w:r>
    </w:p>
    <w:p w14:paraId="71DECB7C" w14:textId="77777777" w:rsidR="006A6081" w:rsidRDefault="00000000">
      <w:pPr>
        <w:spacing w:before="200" w:after="100"/>
      </w:pPr>
      <w:r>
        <w:rPr>
          <w:b/>
          <w:bCs/>
          <w:i/>
          <w:iCs/>
          <w:color w:val="1B2A41"/>
          <w:sz w:val="20"/>
          <w:szCs w:val="20"/>
        </w:rPr>
        <w:t>Table 1. Beneficiaries Reached by Neighborhood, 2026</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2000"/>
        <w:gridCol w:w="2000"/>
        <w:gridCol w:w="2000"/>
      </w:tblGrid>
      <w:tr w:rsidR="006A6081" w14:paraId="7411B07E" w14:textId="77777777">
        <w:tblPrEx>
          <w:tblCellMar>
            <w:top w:w="0" w:type="dxa"/>
            <w:bottom w:w="0" w:type="dxa"/>
          </w:tblCellMar>
        </w:tblPrEx>
        <w:trPr>
          <w:cantSplit/>
          <w:tblHeader/>
        </w:trPr>
        <w:tc>
          <w:tcPr>
            <w:tcW w:w="3350" w:type="dxa"/>
            <w:shd w:val="clear" w:color="auto" w:fill="1B2A41"/>
            <w:tcMar>
              <w:top w:w="80" w:type="dxa"/>
              <w:left w:w="100" w:type="dxa"/>
              <w:bottom w:w="80" w:type="dxa"/>
              <w:right w:w="100" w:type="dxa"/>
            </w:tcMar>
            <w:vAlign w:val="center"/>
          </w:tcPr>
          <w:p w14:paraId="0B314A96" w14:textId="77777777" w:rsidR="006A6081" w:rsidRDefault="00000000">
            <w:r>
              <w:rPr>
                <w:b/>
                <w:bCs/>
                <w:color w:val="FFFFFF"/>
                <w:sz w:val="20"/>
                <w:szCs w:val="20"/>
              </w:rPr>
              <w:t>Neighborhood</w:t>
            </w:r>
          </w:p>
        </w:tc>
        <w:tc>
          <w:tcPr>
            <w:tcW w:w="2000" w:type="dxa"/>
            <w:shd w:val="clear" w:color="auto" w:fill="1B2A41"/>
            <w:tcMar>
              <w:top w:w="80" w:type="dxa"/>
              <w:left w:w="100" w:type="dxa"/>
              <w:bottom w:w="80" w:type="dxa"/>
              <w:right w:w="100" w:type="dxa"/>
            </w:tcMar>
            <w:vAlign w:val="center"/>
          </w:tcPr>
          <w:p w14:paraId="7D071DC0" w14:textId="77777777" w:rsidR="006A6081" w:rsidRDefault="00000000">
            <w:pPr>
              <w:jc w:val="center"/>
            </w:pPr>
            <w:r>
              <w:rPr>
                <w:b/>
                <w:bCs/>
                <w:color w:val="FFFFFF"/>
                <w:sz w:val="20"/>
                <w:szCs w:val="20"/>
              </w:rPr>
              <w:t>Unique Residents Reached</w:t>
            </w:r>
          </w:p>
        </w:tc>
        <w:tc>
          <w:tcPr>
            <w:tcW w:w="2000" w:type="dxa"/>
            <w:shd w:val="clear" w:color="auto" w:fill="1B2A41"/>
            <w:tcMar>
              <w:top w:w="80" w:type="dxa"/>
              <w:left w:w="100" w:type="dxa"/>
              <w:bottom w:w="80" w:type="dxa"/>
              <w:right w:w="100" w:type="dxa"/>
            </w:tcMar>
            <w:vAlign w:val="center"/>
          </w:tcPr>
          <w:p w14:paraId="150D56F9" w14:textId="77777777" w:rsidR="006A6081" w:rsidRDefault="00000000">
            <w:pPr>
              <w:jc w:val="center"/>
            </w:pPr>
            <w:r>
              <w:rPr>
                <w:b/>
                <w:bCs/>
                <w:color w:val="FFFFFF"/>
                <w:sz w:val="20"/>
                <w:szCs w:val="20"/>
              </w:rPr>
              <w:t>Workshops Held</w:t>
            </w:r>
          </w:p>
        </w:tc>
        <w:tc>
          <w:tcPr>
            <w:tcW w:w="2000" w:type="dxa"/>
            <w:shd w:val="clear" w:color="auto" w:fill="1B2A41"/>
            <w:tcMar>
              <w:top w:w="80" w:type="dxa"/>
              <w:left w:w="100" w:type="dxa"/>
              <w:bottom w:w="80" w:type="dxa"/>
              <w:right w:w="100" w:type="dxa"/>
            </w:tcMar>
            <w:vAlign w:val="center"/>
          </w:tcPr>
          <w:p w14:paraId="3BCE4AA0" w14:textId="77777777" w:rsidR="006A6081" w:rsidRDefault="00000000">
            <w:pPr>
              <w:jc w:val="center"/>
            </w:pPr>
            <w:r>
              <w:rPr>
                <w:b/>
                <w:bCs/>
                <w:color w:val="FFFFFF"/>
                <w:sz w:val="20"/>
                <w:szCs w:val="20"/>
              </w:rPr>
              <w:t>Referrals Made</w:t>
            </w:r>
          </w:p>
        </w:tc>
      </w:tr>
      <w:tr w:rsidR="006A6081" w14:paraId="16680AB5" w14:textId="77777777">
        <w:tblPrEx>
          <w:tblCellMar>
            <w:top w:w="0" w:type="dxa"/>
            <w:bottom w:w="0" w:type="dxa"/>
          </w:tblCellMar>
        </w:tblPrEx>
        <w:trPr>
          <w:cantSplit/>
        </w:trPr>
        <w:tc>
          <w:tcPr>
            <w:tcW w:w="3350" w:type="dxa"/>
            <w:shd w:val="clear" w:color="auto" w:fill="F3F2EF"/>
            <w:tcMar>
              <w:top w:w="80" w:type="dxa"/>
              <w:left w:w="100" w:type="dxa"/>
              <w:bottom w:w="80" w:type="dxa"/>
              <w:right w:w="100" w:type="dxa"/>
            </w:tcMar>
            <w:vAlign w:val="center"/>
          </w:tcPr>
          <w:p w14:paraId="65ACBFD7" w14:textId="77777777" w:rsidR="006A6081" w:rsidRDefault="00000000">
            <w:r>
              <w:rPr>
                <w:sz w:val="20"/>
                <w:szCs w:val="20"/>
              </w:rPr>
              <w:t>Fairhaven</w:t>
            </w:r>
          </w:p>
        </w:tc>
        <w:tc>
          <w:tcPr>
            <w:tcW w:w="2000" w:type="dxa"/>
            <w:shd w:val="clear" w:color="auto" w:fill="F3F2EF"/>
            <w:tcMar>
              <w:top w:w="80" w:type="dxa"/>
              <w:left w:w="100" w:type="dxa"/>
              <w:bottom w:w="80" w:type="dxa"/>
              <w:right w:w="100" w:type="dxa"/>
            </w:tcMar>
            <w:vAlign w:val="center"/>
          </w:tcPr>
          <w:p w14:paraId="2F4894DE" w14:textId="77777777" w:rsidR="006A6081" w:rsidRDefault="00000000">
            <w:pPr>
              <w:jc w:val="center"/>
            </w:pPr>
            <w:r>
              <w:rPr>
                <w:sz w:val="20"/>
                <w:szCs w:val="20"/>
              </w:rPr>
              <w:t>214</w:t>
            </w:r>
          </w:p>
        </w:tc>
        <w:tc>
          <w:tcPr>
            <w:tcW w:w="2000" w:type="dxa"/>
            <w:shd w:val="clear" w:color="auto" w:fill="F3F2EF"/>
            <w:tcMar>
              <w:top w:w="80" w:type="dxa"/>
              <w:left w:w="100" w:type="dxa"/>
              <w:bottom w:w="80" w:type="dxa"/>
              <w:right w:w="100" w:type="dxa"/>
            </w:tcMar>
            <w:vAlign w:val="center"/>
          </w:tcPr>
          <w:p w14:paraId="0E83C27F" w14:textId="77777777" w:rsidR="006A6081" w:rsidRDefault="00000000">
            <w:pPr>
              <w:jc w:val="center"/>
            </w:pPr>
            <w:r>
              <w:rPr>
                <w:sz w:val="20"/>
                <w:szCs w:val="20"/>
              </w:rPr>
              <w:t>13</w:t>
            </w:r>
          </w:p>
        </w:tc>
        <w:tc>
          <w:tcPr>
            <w:tcW w:w="2000" w:type="dxa"/>
            <w:shd w:val="clear" w:color="auto" w:fill="F3F2EF"/>
            <w:tcMar>
              <w:top w:w="80" w:type="dxa"/>
              <w:left w:w="100" w:type="dxa"/>
              <w:bottom w:w="80" w:type="dxa"/>
              <w:right w:w="100" w:type="dxa"/>
            </w:tcMar>
            <w:vAlign w:val="center"/>
          </w:tcPr>
          <w:p w14:paraId="6FC93E4D" w14:textId="77777777" w:rsidR="006A6081" w:rsidRDefault="00000000">
            <w:pPr>
              <w:jc w:val="center"/>
            </w:pPr>
            <w:r>
              <w:rPr>
                <w:sz w:val="20"/>
                <w:szCs w:val="20"/>
              </w:rPr>
              <w:t>89</w:t>
            </w:r>
          </w:p>
        </w:tc>
      </w:tr>
      <w:tr w:rsidR="006A6081" w14:paraId="5B42953B" w14:textId="77777777">
        <w:tblPrEx>
          <w:tblCellMar>
            <w:top w:w="0" w:type="dxa"/>
            <w:bottom w:w="0" w:type="dxa"/>
          </w:tblCellMar>
        </w:tblPrEx>
        <w:trPr>
          <w:cantSplit/>
        </w:trPr>
        <w:tc>
          <w:tcPr>
            <w:tcW w:w="3350" w:type="dxa"/>
            <w:tcMar>
              <w:top w:w="80" w:type="dxa"/>
              <w:left w:w="100" w:type="dxa"/>
              <w:bottom w:w="80" w:type="dxa"/>
              <w:right w:w="100" w:type="dxa"/>
            </w:tcMar>
            <w:vAlign w:val="center"/>
          </w:tcPr>
          <w:p w14:paraId="306F899D" w14:textId="77777777" w:rsidR="006A6081" w:rsidRDefault="00000000">
            <w:r>
              <w:rPr>
                <w:sz w:val="20"/>
                <w:szCs w:val="20"/>
              </w:rPr>
              <w:t>Elm Ridge</w:t>
            </w:r>
          </w:p>
        </w:tc>
        <w:tc>
          <w:tcPr>
            <w:tcW w:w="2000" w:type="dxa"/>
            <w:tcMar>
              <w:top w:w="80" w:type="dxa"/>
              <w:left w:w="100" w:type="dxa"/>
              <w:bottom w:w="80" w:type="dxa"/>
              <w:right w:w="100" w:type="dxa"/>
            </w:tcMar>
            <w:vAlign w:val="center"/>
          </w:tcPr>
          <w:p w14:paraId="41FF06EE" w14:textId="77777777" w:rsidR="006A6081" w:rsidRDefault="00000000">
            <w:pPr>
              <w:jc w:val="center"/>
            </w:pPr>
            <w:r>
              <w:rPr>
                <w:sz w:val="20"/>
                <w:szCs w:val="20"/>
              </w:rPr>
              <w:t>178</w:t>
            </w:r>
          </w:p>
        </w:tc>
        <w:tc>
          <w:tcPr>
            <w:tcW w:w="2000" w:type="dxa"/>
            <w:tcMar>
              <w:top w:w="80" w:type="dxa"/>
              <w:left w:w="100" w:type="dxa"/>
              <w:bottom w:w="80" w:type="dxa"/>
              <w:right w:w="100" w:type="dxa"/>
            </w:tcMar>
            <w:vAlign w:val="center"/>
          </w:tcPr>
          <w:p w14:paraId="6FB9A975" w14:textId="77777777" w:rsidR="006A6081" w:rsidRDefault="00000000">
            <w:pPr>
              <w:jc w:val="center"/>
            </w:pPr>
            <w:r>
              <w:rPr>
                <w:sz w:val="20"/>
                <w:szCs w:val="20"/>
              </w:rPr>
              <w:t>11</w:t>
            </w:r>
          </w:p>
        </w:tc>
        <w:tc>
          <w:tcPr>
            <w:tcW w:w="2000" w:type="dxa"/>
            <w:tcMar>
              <w:top w:w="80" w:type="dxa"/>
              <w:left w:w="100" w:type="dxa"/>
              <w:bottom w:w="80" w:type="dxa"/>
              <w:right w:w="100" w:type="dxa"/>
            </w:tcMar>
            <w:vAlign w:val="center"/>
          </w:tcPr>
          <w:p w14:paraId="40A6D4E8" w14:textId="77777777" w:rsidR="006A6081" w:rsidRDefault="00000000">
            <w:pPr>
              <w:jc w:val="center"/>
            </w:pPr>
            <w:r>
              <w:rPr>
                <w:sz w:val="20"/>
                <w:szCs w:val="20"/>
              </w:rPr>
              <w:t>74</w:t>
            </w:r>
          </w:p>
        </w:tc>
      </w:tr>
      <w:tr w:rsidR="006A6081" w14:paraId="3477DBCC" w14:textId="77777777">
        <w:tblPrEx>
          <w:tblCellMar>
            <w:top w:w="0" w:type="dxa"/>
            <w:bottom w:w="0" w:type="dxa"/>
          </w:tblCellMar>
        </w:tblPrEx>
        <w:trPr>
          <w:cantSplit/>
        </w:trPr>
        <w:tc>
          <w:tcPr>
            <w:tcW w:w="3350" w:type="dxa"/>
            <w:shd w:val="clear" w:color="auto" w:fill="F3F2EF"/>
            <w:tcMar>
              <w:top w:w="80" w:type="dxa"/>
              <w:left w:w="100" w:type="dxa"/>
              <w:bottom w:w="80" w:type="dxa"/>
              <w:right w:w="100" w:type="dxa"/>
            </w:tcMar>
            <w:vAlign w:val="center"/>
          </w:tcPr>
          <w:p w14:paraId="2463E72E" w14:textId="77777777" w:rsidR="006A6081" w:rsidRDefault="00000000">
            <w:r>
              <w:rPr>
                <w:sz w:val="20"/>
                <w:szCs w:val="20"/>
              </w:rPr>
              <w:t>South Meridian</w:t>
            </w:r>
          </w:p>
        </w:tc>
        <w:tc>
          <w:tcPr>
            <w:tcW w:w="2000" w:type="dxa"/>
            <w:shd w:val="clear" w:color="auto" w:fill="F3F2EF"/>
            <w:tcMar>
              <w:top w:w="80" w:type="dxa"/>
              <w:left w:w="100" w:type="dxa"/>
              <w:bottom w:w="80" w:type="dxa"/>
              <w:right w:w="100" w:type="dxa"/>
            </w:tcMar>
            <w:vAlign w:val="center"/>
          </w:tcPr>
          <w:p w14:paraId="27A89505" w14:textId="77777777" w:rsidR="006A6081" w:rsidRDefault="00000000">
            <w:pPr>
              <w:jc w:val="center"/>
            </w:pPr>
            <w:r>
              <w:rPr>
                <w:sz w:val="20"/>
                <w:szCs w:val="20"/>
              </w:rPr>
              <w:t>196</w:t>
            </w:r>
          </w:p>
        </w:tc>
        <w:tc>
          <w:tcPr>
            <w:tcW w:w="2000" w:type="dxa"/>
            <w:shd w:val="clear" w:color="auto" w:fill="F3F2EF"/>
            <w:tcMar>
              <w:top w:w="80" w:type="dxa"/>
              <w:left w:w="100" w:type="dxa"/>
              <w:bottom w:w="80" w:type="dxa"/>
              <w:right w:w="100" w:type="dxa"/>
            </w:tcMar>
            <w:vAlign w:val="center"/>
          </w:tcPr>
          <w:p w14:paraId="0969BB55" w14:textId="77777777" w:rsidR="006A6081" w:rsidRDefault="00000000">
            <w:pPr>
              <w:jc w:val="center"/>
            </w:pPr>
            <w:r>
              <w:rPr>
                <w:sz w:val="20"/>
                <w:szCs w:val="20"/>
              </w:rPr>
              <w:t>12</w:t>
            </w:r>
          </w:p>
        </w:tc>
        <w:tc>
          <w:tcPr>
            <w:tcW w:w="2000" w:type="dxa"/>
            <w:shd w:val="clear" w:color="auto" w:fill="F3F2EF"/>
            <w:tcMar>
              <w:top w:w="80" w:type="dxa"/>
              <w:left w:w="100" w:type="dxa"/>
              <w:bottom w:w="80" w:type="dxa"/>
              <w:right w:w="100" w:type="dxa"/>
            </w:tcMar>
            <w:vAlign w:val="center"/>
          </w:tcPr>
          <w:p w14:paraId="38446F8A" w14:textId="77777777" w:rsidR="006A6081" w:rsidRDefault="00000000">
            <w:pPr>
              <w:jc w:val="center"/>
            </w:pPr>
            <w:r>
              <w:rPr>
                <w:sz w:val="20"/>
                <w:szCs w:val="20"/>
              </w:rPr>
              <w:t>85</w:t>
            </w:r>
          </w:p>
        </w:tc>
      </w:tr>
      <w:tr w:rsidR="006A6081" w14:paraId="1FC6495E" w14:textId="77777777">
        <w:tblPrEx>
          <w:tblCellMar>
            <w:top w:w="0" w:type="dxa"/>
            <w:bottom w:w="0" w:type="dxa"/>
          </w:tblCellMar>
        </w:tblPrEx>
        <w:trPr>
          <w:cantSplit/>
        </w:trPr>
        <w:tc>
          <w:tcPr>
            <w:tcW w:w="3350" w:type="dxa"/>
            <w:tcMar>
              <w:top w:w="80" w:type="dxa"/>
              <w:left w:w="100" w:type="dxa"/>
              <w:bottom w:w="80" w:type="dxa"/>
              <w:right w:w="100" w:type="dxa"/>
            </w:tcMar>
            <w:vAlign w:val="center"/>
          </w:tcPr>
          <w:p w14:paraId="7537F2B4" w14:textId="77777777" w:rsidR="006A6081" w:rsidRDefault="00000000">
            <w:r>
              <w:rPr>
                <w:sz w:val="20"/>
                <w:szCs w:val="20"/>
              </w:rPr>
              <w:t>Oakview</w:t>
            </w:r>
          </w:p>
        </w:tc>
        <w:tc>
          <w:tcPr>
            <w:tcW w:w="2000" w:type="dxa"/>
            <w:tcMar>
              <w:top w:w="80" w:type="dxa"/>
              <w:left w:w="100" w:type="dxa"/>
              <w:bottom w:w="80" w:type="dxa"/>
              <w:right w:w="100" w:type="dxa"/>
            </w:tcMar>
            <w:vAlign w:val="center"/>
          </w:tcPr>
          <w:p w14:paraId="7E66DC2C" w14:textId="77777777" w:rsidR="006A6081" w:rsidRDefault="00000000">
            <w:pPr>
              <w:jc w:val="center"/>
            </w:pPr>
            <w:r>
              <w:rPr>
                <w:sz w:val="20"/>
                <w:szCs w:val="20"/>
              </w:rPr>
              <w:t>154</w:t>
            </w:r>
          </w:p>
        </w:tc>
        <w:tc>
          <w:tcPr>
            <w:tcW w:w="2000" w:type="dxa"/>
            <w:tcMar>
              <w:top w:w="80" w:type="dxa"/>
              <w:left w:w="100" w:type="dxa"/>
              <w:bottom w:w="80" w:type="dxa"/>
              <w:right w:w="100" w:type="dxa"/>
            </w:tcMar>
            <w:vAlign w:val="center"/>
          </w:tcPr>
          <w:p w14:paraId="4B197CB2" w14:textId="77777777" w:rsidR="006A6081" w:rsidRDefault="00000000">
            <w:pPr>
              <w:jc w:val="center"/>
            </w:pPr>
            <w:r>
              <w:rPr>
                <w:sz w:val="20"/>
                <w:szCs w:val="20"/>
              </w:rPr>
              <w:t>10</w:t>
            </w:r>
          </w:p>
        </w:tc>
        <w:tc>
          <w:tcPr>
            <w:tcW w:w="2000" w:type="dxa"/>
            <w:tcMar>
              <w:top w:w="80" w:type="dxa"/>
              <w:left w:w="100" w:type="dxa"/>
              <w:bottom w:w="80" w:type="dxa"/>
              <w:right w:w="100" w:type="dxa"/>
            </w:tcMar>
            <w:vAlign w:val="center"/>
          </w:tcPr>
          <w:p w14:paraId="2BD1841E" w14:textId="77777777" w:rsidR="006A6081" w:rsidRDefault="00000000">
            <w:pPr>
              <w:jc w:val="center"/>
            </w:pPr>
            <w:r>
              <w:rPr>
                <w:sz w:val="20"/>
                <w:szCs w:val="20"/>
              </w:rPr>
              <w:t>70</w:t>
            </w:r>
          </w:p>
        </w:tc>
      </w:tr>
      <w:tr w:rsidR="006A6081" w14:paraId="53C80930" w14:textId="77777777">
        <w:tblPrEx>
          <w:tblCellMar>
            <w:top w:w="0" w:type="dxa"/>
            <w:bottom w:w="0" w:type="dxa"/>
          </w:tblCellMar>
        </w:tblPrEx>
        <w:trPr>
          <w:cantSplit/>
        </w:trPr>
        <w:tc>
          <w:tcPr>
            <w:tcW w:w="3350" w:type="dxa"/>
            <w:shd w:val="clear" w:color="auto" w:fill="B98F45"/>
            <w:tcMar>
              <w:top w:w="80" w:type="dxa"/>
              <w:left w:w="100" w:type="dxa"/>
              <w:bottom w:w="80" w:type="dxa"/>
              <w:right w:w="100" w:type="dxa"/>
            </w:tcMar>
            <w:vAlign w:val="center"/>
          </w:tcPr>
          <w:p w14:paraId="14F96628" w14:textId="77777777" w:rsidR="006A6081" w:rsidRDefault="00000000">
            <w:r>
              <w:rPr>
                <w:b/>
                <w:bCs/>
                <w:sz w:val="20"/>
                <w:szCs w:val="20"/>
              </w:rPr>
              <w:t>Total</w:t>
            </w:r>
          </w:p>
        </w:tc>
        <w:tc>
          <w:tcPr>
            <w:tcW w:w="2000" w:type="dxa"/>
            <w:shd w:val="clear" w:color="auto" w:fill="B98F45"/>
            <w:tcMar>
              <w:top w:w="80" w:type="dxa"/>
              <w:left w:w="100" w:type="dxa"/>
              <w:bottom w:w="80" w:type="dxa"/>
              <w:right w:w="100" w:type="dxa"/>
            </w:tcMar>
            <w:vAlign w:val="center"/>
          </w:tcPr>
          <w:p w14:paraId="3ED0B930" w14:textId="77777777" w:rsidR="006A6081" w:rsidRDefault="00000000">
            <w:pPr>
              <w:jc w:val="center"/>
            </w:pPr>
            <w:r>
              <w:rPr>
                <w:b/>
                <w:bCs/>
                <w:sz w:val="20"/>
                <w:szCs w:val="20"/>
              </w:rPr>
              <w:t>742</w:t>
            </w:r>
          </w:p>
        </w:tc>
        <w:tc>
          <w:tcPr>
            <w:tcW w:w="2000" w:type="dxa"/>
            <w:shd w:val="clear" w:color="auto" w:fill="B98F45"/>
            <w:tcMar>
              <w:top w:w="80" w:type="dxa"/>
              <w:left w:w="100" w:type="dxa"/>
              <w:bottom w:w="80" w:type="dxa"/>
              <w:right w:w="100" w:type="dxa"/>
            </w:tcMar>
            <w:vAlign w:val="center"/>
          </w:tcPr>
          <w:p w14:paraId="685D4A2A" w14:textId="77777777" w:rsidR="006A6081" w:rsidRDefault="00000000">
            <w:pPr>
              <w:jc w:val="center"/>
            </w:pPr>
            <w:r>
              <w:rPr>
                <w:b/>
                <w:bCs/>
                <w:sz w:val="20"/>
                <w:szCs w:val="20"/>
              </w:rPr>
              <w:t>46</w:t>
            </w:r>
          </w:p>
        </w:tc>
        <w:tc>
          <w:tcPr>
            <w:tcW w:w="2000" w:type="dxa"/>
            <w:shd w:val="clear" w:color="auto" w:fill="B98F45"/>
            <w:tcMar>
              <w:top w:w="80" w:type="dxa"/>
              <w:left w:w="100" w:type="dxa"/>
              <w:bottom w:w="80" w:type="dxa"/>
              <w:right w:w="100" w:type="dxa"/>
            </w:tcMar>
            <w:vAlign w:val="center"/>
          </w:tcPr>
          <w:p w14:paraId="5DF32464" w14:textId="77777777" w:rsidR="006A6081" w:rsidRDefault="00000000">
            <w:pPr>
              <w:jc w:val="center"/>
            </w:pPr>
            <w:r>
              <w:rPr>
                <w:b/>
                <w:bCs/>
                <w:sz w:val="20"/>
                <w:szCs w:val="20"/>
              </w:rPr>
              <w:t>318</w:t>
            </w:r>
          </w:p>
        </w:tc>
      </w:tr>
    </w:tbl>
    <w:p w14:paraId="3C154FC1" w14:textId="77777777" w:rsidR="006A6081" w:rsidRDefault="006A6081">
      <w:pPr>
        <w:spacing w:before="200"/>
      </w:pPr>
    </w:p>
    <w:p w14:paraId="18A1665F" w14:textId="77777777" w:rsidR="006A6081" w:rsidRDefault="00000000">
      <w:pPr>
        <w:spacing w:before="200" w:after="100"/>
      </w:pPr>
      <w:r>
        <w:rPr>
          <w:rFonts w:ascii="Montserrat" w:eastAsia="Montserrat" w:hAnsi="Montserrat" w:cs="Montserrat"/>
          <w:b/>
          <w:bCs/>
          <w:color w:val="1B2A41"/>
          <w:sz w:val="21"/>
          <w:szCs w:val="21"/>
        </w:rPr>
        <w:lastRenderedPageBreak/>
        <w:t>4.1 Demographic Summary</w:t>
      </w:r>
    </w:p>
    <w:p w14:paraId="02E11A64" w14:textId="77777777" w:rsidR="006A6081" w:rsidRDefault="00000000">
      <w:pPr>
        <w:pStyle w:val="ListParagraph"/>
        <w:numPr>
          <w:ilvl w:val="0"/>
          <w:numId w:val="2"/>
        </w:numPr>
        <w:spacing w:after="90"/>
      </w:pPr>
      <w:r>
        <w:t>58% of residents reached identified as women; 42% identified as men.</w:t>
      </w:r>
    </w:p>
    <w:p w14:paraId="10BE1392" w14:textId="77777777" w:rsidR="006A6081" w:rsidRDefault="00000000">
      <w:pPr>
        <w:pStyle w:val="ListParagraph"/>
        <w:numPr>
          <w:ilvl w:val="0"/>
          <w:numId w:val="2"/>
        </w:numPr>
        <w:spacing w:after="90"/>
      </w:pPr>
      <w:r>
        <w:t>34% of residents reached were adults age 60 or older.</w:t>
      </w:r>
    </w:p>
    <w:p w14:paraId="67018614" w14:textId="77777777" w:rsidR="006A6081" w:rsidRDefault="00000000">
      <w:pPr>
        <w:pStyle w:val="ListParagraph"/>
        <w:numPr>
          <w:ilvl w:val="0"/>
          <w:numId w:val="2"/>
        </w:numPr>
        <w:spacing w:after="90"/>
      </w:pPr>
      <w:r>
        <w:t>Approximately 40% of residents reached identified Spanish as their preferred language.</w:t>
      </w:r>
    </w:p>
    <w:p w14:paraId="4081AD65" w14:textId="77777777" w:rsidR="006A6081" w:rsidRDefault="00000000">
      <w:pPr>
        <w:pStyle w:val="ListParagraph"/>
        <w:numPr>
          <w:ilvl w:val="0"/>
          <w:numId w:val="2"/>
        </w:numPr>
        <w:spacing w:after="90"/>
      </w:pPr>
      <w:r>
        <w:t>An estimated 61% of residents reached were uninsured or underinsured at the time of first contact.</w:t>
      </w:r>
    </w:p>
    <w:p w14:paraId="49E5C665" w14:textId="77777777" w:rsidR="006A6081" w:rsidRDefault="00000000">
      <w:pPr>
        <w:pStyle w:val="Heading1"/>
        <w:pBdr>
          <w:bottom w:val="single" w:sz="8" w:space="4" w:color="B98F45"/>
        </w:pBdr>
        <w:spacing w:before="400" w:after="200"/>
      </w:pPr>
      <w:r>
        <w:t>5. Outputs</w:t>
      </w:r>
    </w:p>
    <w:p w14:paraId="0EF8EE35" w14:textId="77777777" w:rsidR="006A6081" w:rsidRDefault="00000000">
      <w:pPr>
        <w:spacing w:after="160" w:line="276" w:lineRule="auto"/>
        <w:jc w:val="both"/>
      </w:pPr>
      <w:r>
        <w:t>Table 2 presents the program's core quantitative outputs by quarter, illustrating both overall volume and the seasonal patterns typical of community outreach programming, including a modest dip in Q3 associated with summer scheduling constraints.</w:t>
      </w:r>
    </w:p>
    <w:p w14:paraId="7ED70EBD" w14:textId="77777777" w:rsidR="006A6081" w:rsidRDefault="00000000">
      <w:pPr>
        <w:spacing w:before="200" w:after="100"/>
      </w:pPr>
      <w:r>
        <w:rPr>
          <w:b/>
          <w:bCs/>
          <w:i/>
          <w:iCs/>
          <w:color w:val="1B2A41"/>
          <w:sz w:val="20"/>
          <w:szCs w:val="20"/>
        </w:rPr>
        <w:t>Table 2. Quarterly Program Outputs, 2026</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0"/>
        <w:gridCol w:w="1450"/>
        <w:gridCol w:w="1450"/>
        <w:gridCol w:w="1450"/>
        <w:gridCol w:w="1450"/>
      </w:tblGrid>
      <w:tr w:rsidR="006A6081" w14:paraId="5BFD2A88" w14:textId="77777777">
        <w:tblPrEx>
          <w:tblCellMar>
            <w:top w:w="0" w:type="dxa"/>
            <w:bottom w:w="0" w:type="dxa"/>
          </w:tblCellMar>
        </w:tblPrEx>
        <w:trPr>
          <w:cantSplit/>
          <w:tblHeader/>
        </w:trPr>
        <w:tc>
          <w:tcPr>
            <w:tcW w:w="3550" w:type="dxa"/>
            <w:shd w:val="clear" w:color="auto" w:fill="2F4A3D"/>
            <w:tcMar>
              <w:top w:w="80" w:type="dxa"/>
              <w:left w:w="100" w:type="dxa"/>
              <w:bottom w:w="80" w:type="dxa"/>
              <w:right w:w="100" w:type="dxa"/>
            </w:tcMar>
            <w:vAlign w:val="center"/>
          </w:tcPr>
          <w:p w14:paraId="1B5D5E4D" w14:textId="77777777" w:rsidR="006A6081" w:rsidRDefault="00000000">
            <w:r>
              <w:rPr>
                <w:b/>
                <w:bCs/>
                <w:color w:val="FFFFFF"/>
                <w:sz w:val="20"/>
                <w:szCs w:val="20"/>
              </w:rPr>
              <w:t>Output</w:t>
            </w:r>
          </w:p>
        </w:tc>
        <w:tc>
          <w:tcPr>
            <w:tcW w:w="1450" w:type="dxa"/>
            <w:shd w:val="clear" w:color="auto" w:fill="2F4A3D"/>
            <w:tcMar>
              <w:top w:w="80" w:type="dxa"/>
              <w:left w:w="100" w:type="dxa"/>
              <w:bottom w:w="80" w:type="dxa"/>
              <w:right w:w="100" w:type="dxa"/>
            </w:tcMar>
            <w:vAlign w:val="center"/>
          </w:tcPr>
          <w:p w14:paraId="67F76A57" w14:textId="77777777" w:rsidR="006A6081" w:rsidRDefault="00000000">
            <w:pPr>
              <w:jc w:val="center"/>
            </w:pPr>
            <w:r>
              <w:rPr>
                <w:b/>
                <w:bCs/>
                <w:color w:val="FFFFFF"/>
                <w:sz w:val="20"/>
                <w:szCs w:val="20"/>
              </w:rPr>
              <w:t>Q1</w:t>
            </w:r>
          </w:p>
        </w:tc>
        <w:tc>
          <w:tcPr>
            <w:tcW w:w="1450" w:type="dxa"/>
            <w:shd w:val="clear" w:color="auto" w:fill="2F4A3D"/>
            <w:tcMar>
              <w:top w:w="80" w:type="dxa"/>
              <w:left w:w="100" w:type="dxa"/>
              <w:bottom w:w="80" w:type="dxa"/>
              <w:right w:w="100" w:type="dxa"/>
            </w:tcMar>
            <w:vAlign w:val="center"/>
          </w:tcPr>
          <w:p w14:paraId="19B7788E" w14:textId="77777777" w:rsidR="006A6081" w:rsidRDefault="00000000">
            <w:pPr>
              <w:jc w:val="center"/>
            </w:pPr>
            <w:r>
              <w:rPr>
                <w:b/>
                <w:bCs/>
                <w:color w:val="FFFFFF"/>
                <w:sz w:val="20"/>
                <w:szCs w:val="20"/>
              </w:rPr>
              <w:t>Q2</w:t>
            </w:r>
          </w:p>
        </w:tc>
        <w:tc>
          <w:tcPr>
            <w:tcW w:w="1450" w:type="dxa"/>
            <w:shd w:val="clear" w:color="auto" w:fill="2F4A3D"/>
            <w:tcMar>
              <w:top w:w="80" w:type="dxa"/>
              <w:left w:w="100" w:type="dxa"/>
              <w:bottom w:w="80" w:type="dxa"/>
              <w:right w:w="100" w:type="dxa"/>
            </w:tcMar>
            <w:vAlign w:val="center"/>
          </w:tcPr>
          <w:p w14:paraId="2E98971C" w14:textId="77777777" w:rsidR="006A6081" w:rsidRDefault="00000000">
            <w:pPr>
              <w:jc w:val="center"/>
            </w:pPr>
            <w:r>
              <w:rPr>
                <w:b/>
                <w:bCs/>
                <w:color w:val="FFFFFF"/>
                <w:sz w:val="20"/>
                <w:szCs w:val="20"/>
              </w:rPr>
              <w:t>Q3</w:t>
            </w:r>
          </w:p>
        </w:tc>
        <w:tc>
          <w:tcPr>
            <w:tcW w:w="1450" w:type="dxa"/>
            <w:shd w:val="clear" w:color="auto" w:fill="2F4A3D"/>
            <w:tcMar>
              <w:top w:w="80" w:type="dxa"/>
              <w:left w:w="100" w:type="dxa"/>
              <w:bottom w:w="80" w:type="dxa"/>
              <w:right w:w="100" w:type="dxa"/>
            </w:tcMar>
            <w:vAlign w:val="center"/>
          </w:tcPr>
          <w:p w14:paraId="2EE9D781" w14:textId="77777777" w:rsidR="006A6081" w:rsidRDefault="00000000">
            <w:pPr>
              <w:jc w:val="center"/>
            </w:pPr>
            <w:r>
              <w:rPr>
                <w:b/>
                <w:bCs/>
                <w:color w:val="FFFFFF"/>
                <w:sz w:val="20"/>
                <w:szCs w:val="20"/>
              </w:rPr>
              <w:t>Q4</w:t>
            </w:r>
          </w:p>
        </w:tc>
      </w:tr>
      <w:tr w:rsidR="006A6081" w14:paraId="2C3D3A92" w14:textId="77777777">
        <w:tblPrEx>
          <w:tblCellMar>
            <w:top w:w="0" w:type="dxa"/>
            <w:bottom w:w="0" w:type="dxa"/>
          </w:tblCellMar>
        </w:tblPrEx>
        <w:trPr>
          <w:cantSplit/>
        </w:trPr>
        <w:tc>
          <w:tcPr>
            <w:tcW w:w="3550" w:type="dxa"/>
            <w:shd w:val="clear" w:color="auto" w:fill="F3F2EF"/>
            <w:tcMar>
              <w:top w:w="80" w:type="dxa"/>
              <w:left w:w="100" w:type="dxa"/>
              <w:bottom w:w="80" w:type="dxa"/>
              <w:right w:w="100" w:type="dxa"/>
            </w:tcMar>
            <w:vAlign w:val="center"/>
          </w:tcPr>
          <w:p w14:paraId="1A5585DD" w14:textId="77777777" w:rsidR="006A6081" w:rsidRDefault="00000000">
            <w:r>
              <w:rPr>
                <w:sz w:val="20"/>
                <w:szCs w:val="20"/>
              </w:rPr>
              <w:t>Resident contacts made</w:t>
            </w:r>
          </w:p>
        </w:tc>
        <w:tc>
          <w:tcPr>
            <w:tcW w:w="1450" w:type="dxa"/>
            <w:shd w:val="clear" w:color="auto" w:fill="F3F2EF"/>
            <w:tcMar>
              <w:top w:w="80" w:type="dxa"/>
              <w:left w:w="100" w:type="dxa"/>
              <w:bottom w:w="80" w:type="dxa"/>
              <w:right w:w="100" w:type="dxa"/>
            </w:tcMar>
            <w:vAlign w:val="center"/>
          </w:tcPr>
          <w:p w14:paraId="5DFD3CAF" w14:textId="77777777" w:rsidR="006A6081" w:rsidRDefault="00000000">
            <w:pPr>
              <w:jc w:val="center"/>
            </w:pPr>
            <w:r>
              <w:rPr>
                <w:sz w:val="20"/>
                <w:szCs w:val="20"/>
              </w:rPr>
              <w:t>165</w:t>
            </w:r>
          </w:p>
        </w:tc>
        <w:tc>
          <w:tcPr>
            <w:tcW w:w="1450" w:type="dxa"/>
            <w:shd w:val="clear" w:color="auto" w:fill="F3F2EF"/>
            <w:tcMar>
              <w:top w:w="80" w:type="dxa"/>
              <w:left w:w="100" w:type="dxa"/>
              <w:bottom w:w="80" w:type="dxa"/>
              <w:right w:w="100" w:type="dxa"/>
            </w:tcMar>
            <w:vAlign w:val="center"/>
          </w:tcPr>
          <w:p w14:paraId="570DF7C4" w14:textId="77777777" w:rsidR="006A6081" w:rsidRDefault="00000000">
            <w:pPr>
              <w:jc w:val="center"/>
            </w:pPr>
            <w:r>
              <w:rPr>
                <w:sz w:val="20"/>
                <w:szCs w:val="20"/>
              </w:rPr>
              <w:t>198</w:t>
            </w:r>
          </w:p>
        </w:tc>
        <w:tc>
          <w:tcPr>
            <w:tcW w:w="1450" w:type="dxa"/>
            <w:shd w:val="clear" w:color="auto" w:fill="F3F2EF"/>
            <w:tcMar>
              <w:top w:w="80" w:type="dxa"/>
              <w:left w:w="100" w:type="dxa"/>
              <w:bottom w:w="80" w:type="dxa"/>
              <w:right w:w="100" w:type="dxa"/>
            </w:tcMar>
            <w:vAlign w:val="center"/>
          </w:tcPr>
          <w:p w14:paraId="4DE6ED26" w14:textId="77777777" w:rsidR="006A6081" w:rsidRDefault="00000000">
            <w:pPr>
              <w:jc w:val="center"/>
            </w:pPr>
            <w:r>
              <w:rPr>
                <w:sz w:val="20"/>
                <w:szCs w:val="20"/>
              </w:rPr>
              <w:t>172</w:t>
            </w:r>
          </w:p>
        </w:tc>
        <w:tc>
          <w:tcPr>
            <w:tcW w:w="1450" w:type="dxa"/>
            <w:shd w:val="clear" w:color="auto" w:fill="F3F2EF"/>
            <w:tcMar>
              <w:top w:w="80" w:type="dxa"/>
              <w:left w:w="100" w:type="dxa"/>
              <w:bottom w:w="80" w:type="dxa"/>
              <w:right w:w="100" w:type="dxa"/>
            </w:tcMar>
            <w:vAlign w:val="center"/>
          </w:tcPr>
          <w:p w14:paraId="2F24A791" w14:textId="77777777" w:rsidR="006A6081" w:rsidRDefault="00000000">
            <w:pPr>
              <w:jc w:val="center"/>
            </w:pPr>
            <w:r>
              <w:rPr>
                <w:sz w:val="20"/>
                <w:szCs w:val="20"/>
              </w:rPr>
              <w:t>207</w:t>
            </w:r>
          </w:p>
        </w:tc>
      </w:tr>
      <w:tr w:rsidR="006A6081" w14:paraId="35A3F1F1" w14:textId="77777777">
        <w:tblPrEx>
          <w:tblCellMar>
            <w:top w:w="0" w:type="dxa"/>
            <w:bottom w:w="0" w:type="dxa"/>
          </w:tblCellMar>
        </w:tblPrEx>
        <w:trPr>
          <w:cantSplit/>
        </w:trPr>
        <w:tc>
          <w:tcPr>
            <w:tcW w:w="3550" w:type="dxa"/>
            <w:tcMar>
              <w:top w:w="80" w:type="dxa"/>
              <w:left w:w="100" w:type="dxa"/>
              <w:bottom w:w="80" w:type="dxa"/>
              <w:right w:w="100" w:type="dxa"/>
            </w:tcMar>
            <w:vAlign w:val="center"/>
          </w:tcPr>
          <w:p w14:paraId="43FCC529" w14:textId="77777777" w:rsidR="006A6081" w:rsidRDefault="00000000">
            <w:r>
              <w:rPr>
                <w:sz w:val="20"/>
                <w:szCs w:val="20"/>
              </w:rPr>
              <w:t>Workshops held</w:t>
            </w:r>
          </w:p>
        </w:tc>
        <w:tc>
          <w:tcPr>
            <w:tcW w:w="1450" w:type="dxa"/>
            <w:tcMar>
              <w:top w:w="80" w:type="dxa"/>
              <w:left w:w="100" w:type="dxa"/>
              <w:bottom w:w="80" w:type="dxa"/>
              <w:right w:w="100" w:type="dxa"/>
            </w:tcMar>
            <w:vAlign w:val="center"/>
          </w:tcPr>
          <w:p w14:paraId="532492BB" w14:textId="77777777" w:rsidR="006A6081" w:rsidRDefault="00000000">
            <w:pPr>
              <w:jc w:val="center"/>
            </w:pPr>
            <w:r>
              <w:rPr>
                <w:sz w:val="20"/>
                <w:szCs w:val="20"/>
              </w:rPr>
              <w:t>10</w:t>
            </w:r>
          </w:p>
        </w:tc>
        <w:tc>
          <w:tcPr>
            <w:tcW w:w="1450" w:type="dxa"/>
            <w:tcMar>
              <w:top w:w="80" w:type="dxa"/>
              <w:left w:w="100" w:type="dxa"/>
              <w:bottom w:w="80" w:type="dxa"/>
              <w:right w:w="100" w:type="dxa"/>
            </w:tcMar>
            <w:vAlign w:val="center"/>
          </w:tcPr>
          <w:p w14:paraId="3D1DEBCC" w14:textId="77777777" w:rsidR="006A6081" w:rsidRDefault="00000000">
            <w:pPr>
              <w:jc w:val="center"/>
            </w:pPr>
            <w:r>
              <w:rPr>
                <w:sz w:val="20"/>
                <w:szCs w:val="20"/>
              </w:rPr>
              <w:t>13</w:t>
            </w:r>
          </w:p>
        </w:tc>
        <w:tc>
          <w:tcPr>
            <w:tcW w:w="1450" w:type="dxa"/>
            <w:tcMar>
              <w:top w:w="80" w:type="dxa"/>
              <w:left w:w="100" w:type="dxa"/>
              <w:bottom w:w="80" w:type="dxa"/>
              <w:right w:w="100" w:type="dxa"/>
            </w:tcMar>
            <w:vAlign w:val="center"/>
          </w:tcPr>
          <w:p w14:paraId="3FEBBF1C" w14:textId="77777777" w:rsidR="006A6081" w:rsidRDefault="00000000">
            <w:pPr>
              <w:jc w:val="center"/>
            </w:pPr>
            <w:r>
              <w:rPr>
                <w:sz w:val="20"/>
                <w:szCs w:val="20"/>
              </w:rPr>
              <w:t>9</w:t>
            </w:r>
          </w:p>
        </w:tc>
        <w:tc>
          <w:tcPr>
            <w:tcW w:w="1450" w:type="dxa"/>
            <w:tcMar>
              <w:top w:w="80" w:type="dxa"/>
              <w:left w:w="100" w:type="dxa"/>
              <w:bottom w:w="80" w:type="dxa"/>
              <w:right w:w="100" w:type="dxa"/>
            </w:tcMar>
            <w:vAlign w:val="center"/>
          </w:tcPr>
          <w:p w14:paraId="520F7262" w14:textId="77777777" w:rsidR="006A6081" w:rsidRDefault="00000000">
            <w:pPr>
              <w:jc w:val="center"/>
            </w:pPr>
            <w:r>
              <w:rPr>
                <w:sz w:val="20"/>
                <w:szCs w:val="20"/>
              </w:rPr>
              <w:t>14</w:t>
            </w:r>
          </w:p>
        </w:tc>
      </w:tr>
      <w:tr w:rsidR="006A6081" w14:paraId="0A03EB66" w14:textId="77777777">
        <w:tblPrEx>
          <w:tblCellMar>
            <w:top w:w="0" w:type="dxa"/>
            <w:bottom w:w="0" w:type="dxa"/>
          </w:tblCellMar>
        </w:tblPrEx>
        <w:trPr>
          <w:cantSplit/>
        </w:trPr>
        <w:tc>
          <w:tcPr>
            <w:tcW w:w="3550" w:type="dxa"/>
            <w:shd w:val="clear" w:color="auto" w:fill="F3F2EF"/>
            <w:tcMar>
              <w:top w:w="80" w:type="dxa"/>
              <w:left w:w="100" w:type="dxa"/>
              <w:bottom w:w="80" w:type="dxa"/>
              <w:right w:w="100" w:type="dxa"/>
            </w:tcMar>
            <w:vAlign w:val="center"/>
          </w:tcPr>
          <w:p w14:paraId="6D858A4F" w14:textId="77777777" w:rsidR="006A6081" w:rsidRDefault="00000000">
            <w:r>
              <w:rPr>
                <w:sz w:val="20"/>
                <w:szCs w:val="20"/>
              </w:rPr>
              <w:t>Referrals made</w:t>
            </w:r>
          </w:p>
        </w:tc>
        <w:tc>
          <w:tcPr>
            <w:tcW w:w="1450" w:type="dxa"/>
            <w:shd w:val="clear" w:color="auto" w:fill="F3F2EF"/>
            <w:tcMar>
              <w:top w:w="80" w:type="dxa"/>
              <w:left w:w="100" w:type="dxa"/>
              <w:bottom w:w="80" w:type="dxa"/>
              <w:right w:w="100" w:type="dxa"/>
            </w:tcMar>
            <w:vAlign w:val="center"/>
          </w:tcPr>
          <w:p w14:paraId="3717D7C9" w14:textId="77777777" w:rsidR="006A6081" w:rsidRDefault="00000000">
            <w:pPr>
              <w:jc w:val="center"/>
            </w:pPr>
            <w:r>
              <w:rPr>
                <w:sz w:val="20"/>
                <w:szCs w:val="20"/>
              </w:rPr>
              <w:t>71</w:t>
            </w:r>
          </w:p>
        </w:tc>
        <w:tc>
          <w:tcPr>
            <w:tcW w:w="1450" w:type="dxa"/>
            <w:shd w:val="clear" w:color="auto" w:fill="F3F2EF"/>
            <w:tcMar>
              <w:top w:w="80" w:type="dxa"/>
              <w:left w:w="100" w:type="dxa"/>
              <w:bottom w:w="80" w:type="dxa"/>
              <w:right w:w="100" w:type="dxa"/>
            </w:tcMar>
            <w:vAlign w:val="center"/>
          </w:tcPr>
          <w:p w14:paraId="28BE00D4" w14:textId="77777777" w:rsidR="006A6081" w:rsidRDefault="00000000">
            <w:pPr>
              <w:jc w:val="center"/>
            </w:pPr>
            <w:r>
              <w:rPr>
                <w:sz w:val="20"/>
                <w:szCs w:val="20"/>
              </w:rPr>
              <w:t>84</w:t>
            </w:r>
          </w:p>
        </w:tc>
        <w:tc>
          <w:tcPr>
            <w:tcW w:w="1450" w:type="dxa"/>
            <w:shd w:val="clear" w:color="auto" w:fill="F3F2EF"/>
            <w:tcMar>
              <w:top w:w="80" w:type="dxa"/>
              <w:left w:w="100" w:type="dxa"/>
              <w:bottom w:w="80" w:type="dxa"/>
              <w:right w:w="100" w:type="dxa"/>
            </w:tcMar>
            <w:vAlign w:val="center"/>
          </w:tcPr>
          <w:p w14:paraId="1C329172" w14:textId="77777777" w:rsidR="006A6081" w:rsidRDefault="00000000">
            <w:pPr>
              <w:jc w:val="center"/>
            </w:pPr>
            <w:r>
              <w:rPr>
                <w:sz w:val="20"/>
                <w:szCs w:val="20"/>
              </w:rPr>
              <w:t>76</w:t>
            </w:r>
          </w:p>
        </w:tc>
        <w:tc>
          <w:tcPr>
            <w:tcW w:w="1450" w:type="dxa"/>
            <w:shd w:val="clear" w:color="auto" w:fill="F3F2EF"/>
            <w:tcMar>
              <w:top w:w="80" w:type="dxa"/>
              <w:left w:w="100" w:type="dxa"/>
              <w:bottom w:w="80" w:type="dxa"/>
              <w:right w:w="100" w:type="dxa"/>
            </w:tcMar>
            <w:vAlign w:val="center"/>
          </w:tcPr>
          <w:p w14:paraId="5B028061" w14:textId="77777777" w:rsidR="006A6081" w:rsidRDefault="00000000">
            <w:pPr>
              <w:jc w:val="center"/>
            </w:pPr>
            <w:r>
              <w:rPr>
                <w:sz w:val="20"/>
                <w:szCs w:val="20"/>
              </w:rPr>
              <w:t>87</w:t>
            </w:r>
          </w:p>
        </w:tc>
      </w:tr>
      <w:tr w:rsidR="006A6081" w14:paraId="1617C659" w14:textId="77777777">
        <w:tblPrEx>
          <w:tblCellMar>
            <w:top w:w="0" w:type="dxa"/>
            <w:bottom w:w="0" w:type="dxa"/>
          </w:tblCellMar>
        </w:tblPrEx>
        <w:trPr>
          <w:cantSplit/>
        </w:trPr>
        <w:tc>
          <w:tcPr>
            <w:tcW w:w="3550" w:type="dxa"/>
            <w:tcMar>
              <w:top w:w="80" w:type="dxa"/>
              <w:left w:w="100" w:type="dxa"/>
              <w:bottom w:w="80" w:type="dxa"/>
              <w:right w:w="100" w:type="dxa"/>
            </w:tcMar>
            <w:vAlign w:val="center"/>
          </w:tcPr>
          <w:p w14:paraId="536A5995" w14:textId="77777777" w:rsidR="006A6081" w:rsidRDefault="00000000">
            <w:r>
              <w:rPr>
                <w:sz w:val="20"/>
                <w:szCs w:val="20"/>
              </w:rPr>
              <w:t>Referrals completed (appointment attended)</w:t>
            </w:r>
          </w:p>
        </w:tc>
        <w:tc>
          <w:tcPr>
            <w:tcW w:w="1450" w:type="dxa"/>
            <w:tcMar>
              <w:top w:w="80" w:type="dxa"/>
              <w:left w:w="100" w:type="dxa"/>
              <w:bottom w:w="80" w:type="dxa"/>
              <w:right w:w="100" w:type="dxa"/>
            </w:tcMar>
            <w:vAlign w:val="center"/>
          </w:tcPr>
          <w:p w14:paraId="31FB8571" w14:textId="77777777" w:rsidR="006A6081" w:rsidRDefault="00000000">
            <w:pPr>
              <w:jc w:val="center"/>
            </w:pPr>
            <w:r>
              <w:rPr>
                <w:sz w:val="20"/>
                <w:szCs w:val="20"/>
              </w:rPr>
              <w:t>48</w:t>
            </w:r>
          </w:p>
        </w:tc>
        <w:tc>
          <w:tcPr>
            <w:tcW w:w="1450" w:type="dxa"/>
            <w:tcMar>
              <w:top w:w="80" w:type="dxa"/>
              <w:left w:w="100" w:type="dxa"/>
              <w:bottom w:w="80" w:type="dxa"/>
              <w:right w:w="100" w:type="dxa"/>
            </w:tcMar>
            <w:vAlign w:val="center"/>
          </w:tcPr>
          <w:p w14:paraId="193B1180" w14:textId="77777777" w:rsidR="006A6081" w:rsidRDefault="00000000">
            <w:pPr>
              <w:jc w:val="center"/>
            </w:pPr>
            <w:r>
              <w:rPr>
                <w:sz w:val="20"/>
                <w:szCs w:val="20"/>
              </w:rPr>
              <w:t>62</w:t>
            </w:r>
          </w:p>
        </w:tc>
        <w:tc>
          <w:tcPr>
            <w:tcW w:w="1450" w:type="dxa"/>
            <w:tcMar>
              <w:top w:w="80" w:type="dxa"/>
              <w:left w:w="100" w:type="dxa"/>
              <w:bottom w:w="80" w:type="dxa"/>
              <w:right w:w="100" w:type="dxa"/>
            </w:tcMar>
            <w:vAlign w:val="center"/>
          </w:tcPr>
          <w:p w14:paraId="0A1B1FFD" w14:textId="77777777" w:rsidR="006A6081" w:rsidRDefault="00000000">
            <w:pPr>
              <w:jc w:val="center"/>
            </w:pPr>
            <w:r>
              <w:rPr>
                <w:sz w:val="20"/>
                <w:szCs w:val="20"/>
              </w:rPr>
              <w:t>58</w:t>
            </w:r>
          </w:p>
        </w:tc>
        <w:tc>
          <w:tcPr>
            <w:tcW w:w="1450" w:type="dxa"/>
            <w:tcMar>
              <w:top w:w="80" w:type="dxa"/>
              <w:left w:w="100" w:type="dxa"/>
              <w:bottom w:w="80" w:type="dxa"/>
              <w:right w:w="100" w:type="dxa"/>
            </w:tcMar>
            <w:vAlign w:val="center"/>
          </w:tcPr>
          <w:p w14:paraId="4DA6E122" w14:textId="77777777" w:rsidR="006A6081" w:rsidRDefault="00000000">
            <w:pPr>
              <w:jc w:val="center"/>
            </w:pPr>
            <w:r>
              <w:rPr>
                <w:sz w:val="20"/>
                <w:szCs w:val="20"/>
              </w:rPr>
              <w:t>67</w:t>
            </w:r>
          </w:p>
        </w:tc>
      </w:tr>
    </w:tbl>
    <w:p w14:paraId="2920F483" w14:textId="77777777" w:rsidR="006A6081" w:rsidRDefault="006A6081">
      <w:pPr>
        <w:spacing w:before="200"/>
      </w:pPr>
    </w:p>
    <w:p w14:paraId="7051178F" w14:textId="77777777" w:rsidR="006A6081" w:rsidRDefault="00000000">
      <w:pPr>
        <w:pStyle w:val="Heading1"/>
        <w:pBdr>
          <w:bottom w:val="single" w:sz="8" w:space="4" w:color="B98F45"/>
        </w:pBdr>
        <w:spacing w:before="400" w:after="200"/>
      </w:pPr>
      <w:r>
        <w:t>6. Outcomes</w:t>
      </w:r>
    </w:p>
    <w:p w14:paraId="7201BE36" w14:textId="77777777" w:rsidR="006A6081" w:rsidRDefault="00000000">
      <w:pPr>
        <w:spacing w:after="160" w:line="276" w:lineRule="auto"/>
        <w:jc w:val="both"/>
      </w:pPr>
      <w:r>
        <w:t>Beyond output volume, the program tracked outcome indicators tied directly to its year-start objectives.</w:t>
      </w:r>
    </w:p>
    <w:p w14:paraId="47EB01CC" w14:textId="77777777" w:rsidR="006A6081" w:rsidRDefault="00000000">
      <w:pPr>
        <w:pStyle w:val="ListParagraph"/>
        <w:numPr>
          <w:ilvl w:val="0"/>
          <w:numId w:val="2"/>
        </w:numPr>
        <w:spacing w:after="90"/>
      </w:pPr>
      <w:r>
        <w:t>Referral completion rate: 74% of referred residents attended their first scheduled appointment, exceeding the 65% year-start target.</w:t>
      </w:r>
    </w:p>
    <w:p w14:paraId="1DB0C368" w14:textId="77777777" w:rsidR="006A6081" w:rsidRDefault="00000000">
      <w:pPr>
        <w:pStyle w:val="ListParagraph"/>
        <w:numPr>
          <w:ilvl w:val="0"/>
          <w:numId w:val="2"/>
        </w:numPr>
        <w:spacing w:after="90"/>
      </w:pPr>
      <w:r>
        <w:t>Workshop satisfaction: 84% of workshop participants rated sessions as satisfactory or highly satisfactory, exceeding the 80% target.</w:t>
      </w:r>
    </w:p>
    <w:p w14:paraId="21452D86" w14:textId="77777777" w:rsidR="006A6081" w:rsidRDefault="00000000">
      <w:pPr>
        <w:pStyle w:val="ListParagraph"/>
        <w:numPr>
          <w:ilvl w:val="0"/>
          <w:numId w:val="2"/>
        </w:numPr>
        <w:spacing w:after="90"/>
      </w:pPr>
      <w:r>
        <w:t>Health resource awareness: 81% of workshop participants reported increased understanding of available health resources on post-session surveys.</w:t>
      </w:r>
    </w:p>
    <w:p w14:paraId="75F01EC1" w14:textId="77777777" w:rsidR="006A6081" w:rsidRDefault="00000000">
      <w:pPr>
        <w:pStyle w:val="ListParagraph"/>
        <w:numPr>
          <w:ilvl w:val="0"/>
          <w:numId w:val="2"/>
        </w:numPr>
        <w:spacing w:after="90"/>
      </w:pPr>
      <w:r>
        <w:t>Repeat engagement: 28% of residents reached had at least one prior contact with the program in a previous program year, indicating sustained community relationships.</w:t>
      </w:r>
    </w:p>
    <w:p w14:paraId="17D8D158" w14:textId="77777777" w:rsidR="006A6081" w:rsidRDefault="00000000">
      <w:pPr>
        <w:spacing w:after="160" w:line="276" w:lineRule="auto"/>
        <w:jc w:val="both"/>
      </w:pPr>
      <w:r>
        <w:t>These outcomes indicate that the program not only maintained its operational scale from the prior year but improved on its two primary performance targets: referral completion and workshop satisfaction.</w:t>
      </w:r>
    </w:p>
    <w:p w14:paraId="73E3E0ED" w14:textId="77777777" w:rsidR="006A6081" w:rsidRDefault="00000000">
      <w:pPr>
        <w:pStyle w:val="Heading1"/>
        <w:pBdr>
          <w:bottom w:val="single" w:sz="8" w:space="4" w:color="B98F45"/>
        </w:pBdr>
        <w:spacing w:before="400" w:after="200"/>
      </w:pPr>
      <w:r>
        <w:t>7. Implementation Challenges</w:t>
      </w:r>
    </w:p>
    <w:p w14:paraId="0838DAA3" w14:textId="77777777" w:rsidR="006A6081" w:rsidRDefault="00000000">
      <w:pPr>
        <w:spacing w:after="160" w:line="276" w:lineRule="auto"/>
        <w:jc w:val="both"/>
      </w:pPr>
      <w:r>
        <w:t>Several implementation challenges affected program delivery during the 2026 reporting period and are documented here for transparency and future planning purposes.</w:t>
      </w:r>
    </w:p>
    <w:p w14:paraId="0828607B" w14:textId="77777777" w:rsidR="006A6081" w:rsidRDefault="00000000">
      <w:pPr>
        <w:spacing w:before="200" w:after="100"/>
      </w:pPr>
      <w:r>
        <w:rPr>
          <w:rFonts w:ascii="Montserrat" w:eastAsia="Montserrat" w:hAnsi="Montserrat" w:cs="Montserrat"/>
          <w:b/>
          <w:bCs/>
          <w:color w:val="1B2A41"/>
          <w:sz w:val="21"/>
          <w:szCs w:val="21"/>
        </w:rPr>
        <w:lastRenderedPageBreak/>
        <w:t>7.1 Seasonal Attendance Fluctuation</w:t>
      </w:r>
    </w:p>
    <w:p w14:paraId="100A0A2E" w14:textId="77777777" w:rsidR="006A6081" w:rsidRDefault="00000000">
      <w:pPr>
        <w:spacing w:after="160" w:line="276" w:lineRule="auto"/>
        <w:jc w:val="both"/>
      </w:pPr>
      <w:r>
        <w:t>Workshop attendance and liaison contact volume both declined modestly during Q3, consistent with patterns observed in prior years and generally attributed to summer scheduling conflicts and reduced availability of community venue partners.</w:t>
      </w:r>
    </w:p>
    <w:p w14:paraId="6C3542BA" w14:textId="77777777" w:rsidR="006A6081" w:rsidRDefault="00000000">
      <w:pPr>
        <w:spacing w:before="200" w:after="100"/>
      </w:pPr>
      <w:r>
        <w:rPr>
          <w:rFonts w:ascii="Montserrat" w:eastAsia="Montserrat" w:hAnsi="Montserrat" w:cs="Montserrat"/>
          <w:b/>
          <w:bCs/>
          <w:color w:val="1B2A41"/>
          <w:sz w:val="21"/>
          <w:szCs w:val="21"/>
        </w:rPr>
        <w:t>7.2 Staffing Transition</w:t>
      </w:r>
    </w:p>
    <w:p w14:paraId="524DC65E" w14:textId="77777777" w:rsidR="006A6081" w:rsidRDefault="00000000">
      <w:pPr>
        <w:spacing w:after="160" w:line="276" w:lineRule="auto"/>
        <w:jc w:val="both"/>
      </w:pPr>
      <w:r>
        <w:t>One of the program's four community health liaison positions experienced a two-month vacancy during Q2 due to staff turnover, temporarily reducing outreach capacity in the Oakview neighborhood until the position was filled.</w:t>
      </w:r>
    </w:p>
    <w:p w14:paraId="0CBFD41A" w14:textId="77777777" w:rsidR="006A6081" w:rsidRDefault="00000000">
      <w:pPr>
        <w:spacing w:before="200" w:after="100"/>
      </w:pPr>
      <w:r>
        <w:rPr>
          <w:rFonts w:ascii="Montserrat" w:eastAsia="Montserrat" w:hAnsi="Montserrat" w:cs="Montserrat"/>
          <w:b/>
          <w:bCs/>
          <w:color w:val="1B2A41"/>
          <w:sz w:val="21"/>
          <w:szCs w:val="21"/>
        </w:rPr>
        <w:t>7.3 Referral Follow-Up Data Gaps</w:t>
      </w:r>
    </w:p>
    <w:p w14:paraId="363895A7" w14:textId="77777777" w:rsidR="006A6081" w:rsidRDefault="00000000">
      <w:pPr>
        <w:spacing w:after="160" w:line="276" w:lineRule="auto"/>
        <w:jc w:val="both"/>
      </w:pPr>
      <w:r>
        <w:t>Referral completion data relies on voluntary resident follow-up consent; an estimated 15% of referrals made during the year could not be confirmed as completed or not completed due to residents declining or not responding to follow-up contact, meaning the reported 74% completion rate is based on the subset of referrals with confirmed outcomes.</w:t>
      </w:r>
    </w:p>
    <w:p w14:paraId="33D207F4" w14:textId="77777777" w:rsidR="006A6081" w:rsidRDefault="00000000">
      <w:pPr>
        <w:pStyle w:val="Heading1"/>
        <w:pBdr>
          <w:bottom w:val="single" w:sz="8" w:space="4" w:color="B98F45"/>
        </w:pBdr>
        <w:spacing w:before="400" w:after="200"/>
      </w:pPr>
      <w:r>
        <w:t>8. Lessons Learned</w:t>
      </w:r>
    </w:p>
    <w:p w14:paraId="1B87DEC7" w14:textId="77777777" w:rsidR="006A6081" w:rsidRDefault="00000000">
      <w:pPr>
        <w:pStyle w:val="ListParagraph"/>
        <w:numPr>
          <w:ilvl w:val="0"/>
          <w:numId w:val="2"/>
        </w:numPr>
        <w:spacing w:after="90"/>
      </w:pPr>
      <w:r>
        <w:t>Cross-training liaisons across neighborhoods reduced the operational impact of the Q2 staffing vacancy and should be formalized as standard practice going forward.</w:t>
      </w:r>
    </w:p>
    <w:p w14:paraId="467A488B" w14:textId="77777777" w:rsidR="006A6081" w:rsidRDefault="00000000">
      <w:pPr>
        <w:pStyle w:val="ListParagraph"/>
        <w:numPr>
          <w:ilvl w:val="0"/>
          <w:numId w:val="2"/>
        </w:numPr>
        <w:spacing w:after="90"/>
      </w:pPr>
      <w:r>
        <w:t>Workshops held in partnership with existing community events consistently drew higher attendance than standalone sessions, suggesting continued value in event co-location.</w:t>
      </w:r>
    </w:p>
    <w:p w14:paraId="5C3DC493" w14:textId="77777777" w:rsidR="006A6081" w:rsidRDefault="00000000">
      <w:pPr>
        <w:pStyle w:val="ListParagraph"/>
        <w:numPr>
          <w:ilvl w:val="0"/>
          <w:numId w:val="2"/>
        </w:numPr>
        <w:spacing w:after="90"/>
      </w:pPr>
      <w:r>
        <w:t>Improving referral follow-up consent rates would meaningfully strengthen the program's ability to report a fully confirmed completion rate rather than a partial one.</w:t>
      </w:r>
    </w:p>
    <w:p w14:paraId="48AB3190" w14:textId="77777777" w:rsidR="006A6081" w:rsidRDefault="00000000">
      <w:pPr>
        <w:pStyle w:val="ListParagraph"/>
        <w:numPr>
          <w:ilvl w:val="0"/>
          <w:numId w:val="2"/>
        </w:numPr>
        <w:spacing w:after="90"/>
      </w:pPr>
      <w:r>
        <w:t>Repeat engagement data suggests the program is building durable community relationships, reinforcing the value of continuity in liaison staffing and neighborhood assignment.</w:t>
      </w:r>
    </w:p>
    <w:p w14:paraId="6A994C4F" w14:textId="77777777" w:rsidR="006A6081" w:rsidRDefault="00000000">
      <w:pPr>
        <w:pStyle w:val="Heading1"/>
        <w:pBdr>
          <w:bottom w:val="single" w:sz="8" w:space="4" w:color="B98F45"/>
        </w:pBdr>
        <w:spacing w:before="400" w:after="200"/>
      </w:pPr>
      <w:r>
        <w:t>9. Recommendations</w:t>
      </w:r>
    </w:p>
    <w:p w14:paraId="16115B3A" w14:textId="77777777" w:rsidR="006A6081" w:rsidRDefault="00000000">
      <w:pPr>
        <w:spacing w:after="160" w:line="276" w:lineRule="auto"/>
        <w:jc w:val="both"/>
      </w:pPr>
      <w:r>
        <w:t>Based on the 2026 program year, Aspire recommends the following actions for the 2027 program year:</w:t>
      </w:r>
    </w:p>
    <w:p w14:paraId="32E58275" w14:textId="77777777" w:rsidR="006A6081" w:rsidRDefault="00000000">
      <w:pPr>
        <w:pStyle w:val="ListParagraph"/>
        <w:numPr>
          <w:ilvl w:val="0"/>
          <w:numId w:val="2"/>
        </w:numPr>
        <w:spacing w:after="90"/>
      </w:pPr>
      <w:r>
        <w:t>Formalize cross-neighborhood liaison training to reduce vulnerability to future staffing transitions.</w:t>
      </w:r>
    </w:p>
    <w:p w14:paraId="29CA99CC" w14:textId="77777777" w:rsidR="006A6081" w:rsidRDefault="00000000">
      <w:pPr>
        <w:pStyle w:val="ListParagraph"/>
        <w:numPr>
          <w:ilvl w:val="0"/>
          <w:numId w:val="2"/>
        </w:numPr>
        <w:spacing w:after="90"/>
      </w:pPr>
      <w:r>
        <w:t>Expand event co-location partnerships to capture the attendance benefits observed in 2026.</w:t>
      </w:r>
    </w:p>
    <w:p w14:paraId="5C7AF209" w14:textId="77777777" w:rsidR="006A6081" w:rsidRDefault="00000000">
      <w:pPr>
        <w:pStyle w:val="ListParagraph"/>
        <w:numPr>
          <w:ilvl w:val="0"/>
          <w:numId w:val="2"/>
        </w:numPr>
        <w:spacing w:after="90"/>
      </w:pPr>
      <w:r>
        <w:t>Revise the referral follow-up protocol to improve resident consent and completion-tracking rates, targeting a reduction in unconfirmed referral outcomes from 15% to under 10%.</w:t>
      </w:r>
    </w:p>
    <w:p w14:paraId="73A435AF" w14:textId="77777777" w:rsidR="006A6081" w:rsidRDefault="00000000">
      <w:pPr>
        <w:pStyle w:val="ListParagraph"/>
        <w:numPr>
          <w:ilvl w:val="0"/>
          <w:numId w:val="2"/>
        </w:numPr>
        <w:spacing w:after="90"/>
      </w:pPr>
      <w:r>
        <w:t>Set a 2027 referral completion target of 75%, building on 2026 performance, while maintaining the workshop satisfaction target at 80% or above.</w:t>
      </w:r>
    </w:p>
    <w:p w14:paraId="7DAC626C" w14:textId="77777777" w:rsidR="006A6081" w:rsidRDefault="00000000">
      <w:pPr>
        <w:pStyle w:val="Heading1"/>
        <w:pBdr>
          <w:bottom w:val="single" w:sz="8" w:space="4" w:color="B98F45"/>
        </w:pBdr>
        <w:spacing w:before="400" w:after="200"/>
      </w:pPr>
      <w:r>
        <w:t>10. Next Steps</w:t>
      </w:r>
    </w:p>
    <w:p w14:paraId="5948C025" w14:textId="77777777" w:rsidR="006A6081" w:rsidRDefault="00000000">
      <w:pPr>
        <w:spacing w:after="160" w:line="276" w:lineRule="auto"/>
        <w:jc w:val="both"/>
      </w:pPr>
      <w:r>
        <w:t xml:space="preserve">CWI will use this report to inform 2027 program planning, staffing decisions, and the referral protocol revisions recommended in Section 9. This report will also be shared with CWI's board of directors and referenced in upcoming funder reporting, including for the Community Mental Health Access Initiative </w:t>
      </w:r>
      <w:r>
        <w:lastRenderedPageBreak/>
        <w:t>described in Aspire's companion grant proposal, which builds directly on this program's outreach and referral infrastructure.</w:t>
      </w:r>
    </w:p>
    <w:p w14:paraId="57002F78" w14:textId="77777777" w:rsidR="006A6081" w:rsidRDefault="00000000">
      <w:pPr>
        <w:pStyle w:val="Heading1"/>
        <w:pBdr>
          <w:bottom w:val="single" w:sz="8" w:space="4" w:color="B98F45"/>
        </w:pBdr>
        <w:spacing w:before="400" w:after="200"/>
      </w:pPr>
      <w:r>
        <w:t>Appendices</w:t>
      </w:r>
    </w:p>
    <w:p w14:paraId="3D29FB3E" w14:textId="77777777" w:rsidR="006A6081" w:rsidRDefault="00000000">
      <w:pPr>
        <w:spacing w:before="200" w:after="100"/>
      </w:pPr>
      <w:r>
        <w:rPr>
          <w:rFonts w:ascii="Montserrat" w:eastAsia="Montserrat" w:hAnsi="Montserrat" w:cs="Montserrat"/>
          <w:b/>
          <w:bCs/>
          <w:color w:val="1B2A41"/>
          <w:sz w:val="21"/>
          <w:szCs w:val="21"/>
        </w:rPr>
        <w:t>Appendix A: Data Collection Instruments</w:t>
      </w:r>
    </w:p>
    <w:p w14:paraId="0E983B8A" w14:textId="77777777" w:rsidR="006A6081" w:rsidRDefault="00000000">
      <w:pPr>
        <w:spacing w:after="160" w:line="276" w:lineRule="auto"/>
        <w:jc w:val="both"/>
      </w:pPr>
      <w:r>
        <w:t>Program data referenced in this report was collected through liaison contact logs, post-workshop participant surveys, and referral tracking records maintained by CWI's Data and Evaluation Coordinator. [Illustrative]</w:t>
      </w:r>
    </w:p>
    <w:p w14:paraId="0130D196" w14:textId="77777777" w:rsidR="006A6081" w:rsidRDefault="00000000">
      <w:pPr>
        <w:spacing w:before="200" w:after="100"/>
      </w:pPr>
      <w:r>
        <w:rPr>
          <w:rFonts w:ascii="Montserrat" w:eastAsia="Montserrat" w:hAnsi="Montserrat" w:cs="Montserrat"/>
          <w:b/>
          <w:bCs/>
          <w:color w:val="1B2A41"/>
          <w:sz w:val="21"/>
          <w:szCs w:val="21"/>
        </w:rPr>
        <w:t>Appendix B: Reporting Period Definitions</w:t>
      </w:r>
    </w:p>
    <w:p w14:paraId="48E520AA" w14:textId="77777777" w:rsidR="006A6081" w:rsidRDefault="00000000">
      <w:pPr>
        <w:spacing w:after="160" w:line="276" w:lineRule="auto"/>
        <w:jc w:val="both"/>
      </w:pPr>
      <w:r>
        <w:t>“Unique residents reached” refers to individuals with at least one documented liaison contact, workshop attendance, or referral during the reporting period, counted once regardless of the number of touchpoints. “Referral completion” refers to a documented first attended appointment following a referral, among referrals with confirmed follow-up data.</w:t>
      </w:r>
    </w:p>
    <w:p w14:paraId="1922E3F1" w14:textId="77777777" w:rsidR="006A6081" w:rsidRDefault="00000000">
      <w:pPr>
        <w:spacing w:before="200" w:after="100"/>
      </w:pPr>
      <w:r>
        <w:rPr>
          <w:rFonts w:ascii="Montserrat" w:eastAsia="Montserrat" w:hAnsi="Montserrat" w:cs="Montserrat"/>
          <w:b/>
          <w:bCs/>
          <w:color w:val="1B2A41"/>
          <w:sz w:val="21"/>
          <w:szCs w:val="21"/>
        </w:rPr>
        <w:t>Appendix C: Program Staffing Summary</w:t>
      </w:r>
    </w:p>
    <w:p w14:paraId="6A8F4CBF" w14:textId="77777777" w:rsidR="006A6081" w:rsidRDefault="00000000">
      <w:pPr>
        <w:pStyle w:val="ListParagraph"/>
        <w:numPr>
          <w:ilvl w:val="0"/>
          <w:numId w:val="2"/>
        </w:numPr>
        <w:spacing w:after="90"/>
      </w:pPr>
      <w:r>
        <w:t>4 Community Health Liaisons (1 position vacant for approximately 2 months during Q2)</w:t>
      </w:r>
    </w:p>
    <w:p w14:paraId="16801E12" w14:textId="77777777" w:rsidR="006A6081" w:rsidRDefault="00000000">
      <w:pPr>
        <w:pStyle w:val="ListParagraph"/>
        <w:numPr>
          <w:ilvl w:val="0"/>
          <w:numId w:val="2"/>
        </w:numPr>
        <w:spacing w:after="90"/>
      </w:pPr>
      <w:r>
        <w:t>1 Data and Evaluation Coordinator (part-time allocation to this program)</w:t>
      </w:r>
    </w:p>
    <w:p w14:paraId="4C0E547B" w14:textId="77777777" w:rsidR="006A6081" w:rsidRDefault="00000000">
      <w:pPr>
        <w:pStyle w:val="ListParagraph"/>
        <w:numPr>
          <w:ilvl w:val="0"/>
          <w:numId w:val="2"/>
        </w:numPr>
        <w:spacing w:after="90"/>
      </w:pPr>
      <w:r>
        <w:t>1 Programs Director (oversight and community partner coordination)</w:t>
      </w:r>
    </w:p>
    <w:sectPr w:rsidR="006A6081">
      <w:headerReference w:type="default" r:id="rId7"/>
      <w:footerReference w:type="default" r:id="rId8"/>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8DE7" w14:textId="77777777" w:rsidR="00E436CB" w:rsidRDefault="00E436CB">
      <w:r>
        <w:separator/>
      </w:r>
    </w:p>
  </w:endnote>
  <w:endnote w:type="continuationSeparator" w:id="0">
    <w:p w14:paraId="3B132C34" w14:textId="77777777" w:rsidR="00E436CB" w:rsidRDefault="00E4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3185" w14:textId="77777777" w:rsidR="006A6081" w:rsidRDefault="00000000">
    <w:pPr>
      <w:pBdr>
        <w:top w:val="single" w:sz="6" w:space="4" w:color="B98F45"/>
      </w:pBdr>
      <w:tabs>
        <w:tab w:val="right" w:pos="9026"/>
      </w:tabs>
    </w:pPr>
    <w:r>
      <w:rPr>
        <w:color w:val="6E6E6E"/>
        <w:sz w:val="16"/>
        <w:szCs w:val="16"/>
      </w:rPr>
      <w:t xml:space="preserve">Aspire Research &amp; </w:t>
    </w:r>
    <w:proofErr w:type="gramStart"/>
    <w:r>
      <w:rPr>
        <w:color w:val="6E6E6E"/>
        <w:sz w:val="16"/>
        <w:szCs w:val="16"/>
      </w:rPr>
      <w:t>Consulting  |</w:t>
    </w:r>
    <w:proofErr w:type="gramEnd"/>
    <w:r>
      <w:rPr>
        <w:color w:val="6E6E6E"/>
        <w:sz w:val="16"/>
        <w:szCs w:val="16"/>
      </w:rPr>
      <w:t xml:space="preserve">  Research. Funding. Impact.</w:t>
    </w:r>
    <w:r>
      <w:rPr>
        <w:sz w:val="16"/>
        <w:szCs w:val="16"/>
      </w:rP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A90F15">
      <w:rPr>
        <w:noProof/>
        <w:color w:val="6E6E6E"/>
        <w:sz w:val="16"/>
        <w:szCs w:val="16"/>
      </w:rPr>
      <w:t>3</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A90F15">
      <w:rPr>
        <w:noProof/>
        <w:color w:val="6E6E6E"/>
        <w:sz w:val="16"/>
        <w:szCs w:val="16"/>
      </w:rPr>
      <w:t>4</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0B4B" w14:textId="77777777" w:rsidR="00E436CB" w:rsidRDefault="00E436CB">
      <w:r>
        <w:separator/>
      </w:r>
    </w:p>
  </w:footnote>
  <w:footnote w:type="continuationSeparator" w:id="0">
    <w:p w14:paraId="3CF6CEFE" w14:textId="77777777" w:rsidR="00E436CB" w:rsidRDefault="00E4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8E3E" w14:textId="77777777" w:rsidR="006A6081" w:rsidRDefault="00000000">
    <w:pPr>
      <w:pBdr>
        <w:bottom w:val="single" w:sz="6" w:space="4" w:color="B98F45"/>
      </w:pBdr>
      <w:jc w:val="right"/>
    </w:pPr>
    <w:r>
      <w:rPr>
        <w:rFonts w:ascii="Montserrat" w:eastAsia="Montserrat" w:hAnsi="Montserrat" w:cs="Montserrat"/>
        <w:b/>
        <w:bCs/>
        <w:color w:val="1B2A41"/>
        <w:spacing w:val="10"/>
        <w:sz w:val="16"/>
        <w:szCs w:val="16"/>
      </w:rPr>
      <w:t>ASPIRE RESEARCH &amp;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05C9"/>
    <w:multiLevelType w:val="hybridMultilevel"/>
    <w:tmpl w:val="2FCC0124"/>
    <w:lvl w:ilvl="0" w:tplc="1256D870">
      <w:start w:val="1"/>
      <w:numFmt w:val="bullet"/>
      <w:lvlText w:val="●"/>
      <w:lvlJc w:val="left"/>
      <w:pPr>
        <w:ind w:left="720" w:hanging="360"/>
      </w:pPr>
    </w:lvl>
    <w:lvl w:ilvl="1" w:tplc="D972A2DE">
      <w:start w:val="1"/>
      <w:numFmt w:val="bullet"/>
      <w:lvlText w:val="○"/>
      <w:lvlJc w:val="left"/>
      <w:pPr>
        <w:ind w:left="1440" w:hanging="360"/>
      </w:pPr>
    </w:lvl>
    <w:lvl w:ilvl="2" w:tplc="BE321ADE">
      <w:start w:val="1"/>
      <w:numFmt w:val="bullet"/>
      <w:lvlText w:val="■"/>
      <w:lvlJc w:val="left"/>
      <w:pPr>
        <w:ind w:left="2160" w:hanging="360"/>
      </w:pPr>
    </w:lvl>
    <w:lvl w:ilvl="3" w:tplc="0DD03298">
      <w:start w:val="1"/>
      <w:numFmt w:val="bullet"/>
      <w:lvlText w:val="●"/>
      <w:lvlJc w:val="left"/>
      <w:pPr>
        <w:ind w:left="2880" w:hanging="360"/>
      </w:pPr>
    </w:lvl>
    <w:lvl w:ilvl="4" w:tplc="807C9880">
      <w:start w:val="1"/>
      <w:numFmt w:val="bullet"/>
      <w:lvlText w:val="○"/>
      <w:lvlJc w:val="left"/>
      <w:pPr>
        <w:ind w:left="3600" w:hanging="360"/>
      </w:pPr>
    </w:lvl>
    <w:lvl w:ilvl="5" w:tplc="03448560">
      <w:start w:val="1"/>
      <w:numFmt w:val="bullet"/>
      <w:lvlText w:val="■"/>
      <w:lvlJc w:val="left"/>
      <w:pPr>
        <w:ind w:left="4320" w:hanging="360"/>
      </w:pPr>
    </w:lvl>
    <w:lvl w:ilvl="6" w:tplc="4148D96E">
      <w:start w:val="1"/>
      <w:numFmt w:val="bullet"/>
      <w:lvlText w:val="●"/>
      <w:lvlJc w:val="left"/>
      <w:pPr>
        <w:ind w:left="5040" w:hanging="360"/>
      </w:pPr>
    </w:lvl>
    <w:lvl w:ilvl="7" w:tplc="D818B410">
      <w:start w:val="1"/>
      <w:numFmt w:val="bullet"/>
      <w:lvlText w:val="●"/>
      <w:lvlJc w:val="left"/>
      <w:pPr>
        <w:ind w:left="5760" w:hanging="360"/>
      </w:pPr>
    </w:lvl>
    <w:lvl w:ilvl="8" w:tplc="4D28900E">
      <w:start w:val="1"/>
      <w:numFmt w:val="bullet"/>
      <w:lvlText w:val="●"/>
      <w:lvlJc w:val="left"/>
      <w:pPr>
        <w:ind w:left="6480" w:hanging="360"/>
      </w:pPr>
    </w:lvl>
  </w:abstractNum>
  <w:abstractNum w:abstractNumId="1" w15:restartNumberingAfterBreak="0">
    <w:nsid w:val="4BCA38AA"/>
    <w:multiLevelType w:val="hybridMultilevel"/>
    <w:tmpl w:val="34286524"/>
    <w:lvl w:ilvl="0" w:tplc="9F2E4CF0">
      <w:start w:val="1"/>
      <w:numFmt w:val="bullet"/>
      <w:lvlText w:val="•"/>
      <w:lvlJc w:val="left"/>
      <w:pPr>
        <w:ind w:left="460" w:hanging="260"/>
      </w:pPr>
    </w:lvl>
    <w:lvl w:ilvl="1" w:tplc="FA4A71B2">
      <w:numFmt w:val="decimal"/>
      <w:lvlText w:val=""/>
      <w:lvlJc w:val="left"/>
    </w:lvl>
    <w:lvl w:ilvl="2" w:tplc="1AB27432">
      <w:numFmt w:val="decimal"/>
      <w:lvlText w:val=""/>
      <w:lvlJc w:val="left"/>
    </w:lvl>
    <w:lvl w:ilvl="3" w:tplc="0358AA4C">
      <w:numFmt w:val="decimal"/>
      <w:lvlText w:val=""/>
      <w:lvlJc w:val="left"/>
    </w:lvl>
    <w:lvl w:ilvl="4" w:tplc="B852ADA0">
      <w:numFmt w:val="decimal"/>
      <w:lvlText w:val=""/>
      <w:lvlJc w:val="left"/>
    </w:lvl>
    <w:lvl w:ilvl="5" w:tplc="6EEA8A08">
      <w:numFmt w:val="decimal"/>
      <w:lvlText w:val=""/>
      <w:lvlJc w:val="left"/>
    </w:lvl>
    <w:lvl w:ilvl="6" w:tplc="C0E25A86">
      <w:numFmt w:val="decimal"/>
      <w:lvlText w:val=""/>
      <w:lvlJc w:val="left"/>
    </w:lvl>
    <w:lvl w:ilvl="7" w:tplc="5CDE19AE">
      <w:numFmt w:val="decimal"/>
      <w:lvlText w:val=""/>
      <w:lvlJc w:val="left"/>
    </w:lvl>
    <w:lvl w:ilvl="8" w:tplc="774C3778">
      <w:numFmt w:val="decimal"/>
      <w:lvlText w:val=""/>
      <w:lvlJc w:val="left"/>
    </w:lvl>
  </w:abstractNum>
  <w:num w:numId="1" w16cid:durableId="681469477">
    <w:abstractNumId w:val="0"/>
    <w:lvlOverride w:ilvl="0">
      <w:startOverride w:val="1"/>
    </w:lvlOverride>
  </w:num>
  <w:num w:numId="2" w16cid:durableId="1743925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081"/>
    <w:rsid w:val="006A6081"/>
    <w:rsid w:val="00A90F15"/>
    <w:rsid w:val="00E436CB"/>
    <w:rsid w:val="00F8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0509"/>
  <w15:docId w15:val="{8C6C8197-AF73-4BC3-9150-4DD01B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Montserrat" w:eastAsia="Montserrat" w:hAnsi="Montserrat" w:cs="Montserrat"/>
      <w:b/>
      <w:bCs/>
      <w:color w:val="1B2A41"/>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1768</Words>
  <Characters>10078</Characters>
  <Application>Microsoft Office Word</Application>
  <DocSecurity>0</DocSecurity>
  <Lines>83</Lines>
  <Paragraphs>23</Paragraphs>
  <ScaleCrop>false</ScaleCrop>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HomePC</cp:lastModifiedBy>
  <cp:revision>2</cp:revision>
  <dcterms:created xsi:type="dcterms:W3CDTF">2026-08-16T07:02:00Z</dcterms:created>
  <dcterms:modified xsi:type="dcterms:W3CDTF">2026-08-16T07:02:00Z</dcterms:modified>
</cp:coreProperties>
</file>