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5573" w14:textId="77777777" w:rsidR="00574EAB" w:rsidRDefault="00000000">
      <w:pPr>
        <w:spacing w:before="120" w:after="60"/>
        <w:jc w:val="center"/>
      </w:pPr>
      <w:r>
        <w:rPr>
          <w:rFonts w:ascii="Montserrat" w:eastAsia="Montserrat" w:hAnsi="Montserrat" w:cs="Montserrat"/>
          <w:b/>
          <w:bCs/>
          <w:color w:val="1B2A41"/>
          <w:spacing w:val="16"/>
          <w:sz w:val="22"/>
          <w:szCs w:val="22"/>
        </w:rPr>
        <w:t>ASPIRE RESEARCH &amp; CONSULTING</w:t>
      </w:r>
    </w:p>
    <w:p w14:paraId="7C17E8FA" w14:textId="77777777" w:rsidR="00574EAB" w:rsidRDefault="00000000">
      <w:pPr>
        <w:spacing w:after="260"/>
        <w:jc w:val="center"/>
      </w:pPr>
      <w:r>
        <w:rPr>
          <w:rFonts w:ascii="Montserrat" w:eastAsia="Montserrat" w:hAnsi="Montserrat" w:cs="Montserrat"/>
          <w:b/>
          <w:bCs/>
          <w:color w:val="B98F45"/>
          <w:spacing w:val="10"/>
          <w:sz w:val="16"/>
          <w:szCs w:val="16"/>
        </w:rPr>
        <w:t xml:space="preserve">POLICY &amp; EVIDENCE </w:t>
      </w:r>
      <w:proofErr w:type="gramStart"/>
      <w:r>
        <w:rPr>
          <w:rFonts w:ascii="Montserrat" w:eastAsia="Montserrat" w:hAnsi="Montserrat" w:cs="Montserrat"/>
          <w:b/>
          <w:bCs/>
          <w:color w:val="B98F45"/>
          <w:spacing w:val="10"/>
          <w:sz w:val="16"/>
          <w:szCs w:val="16"/>
        </w:rPr>
        <w:t>BRIEF  •</w:t>
      </w:r>
      <w:proofErr w:type="gramEnd"/>
      <w:r>
        <w:rPr>
          <w:rFonts w:ascii="Montserrat" w:eastAsia="Montserrat" w:hAnsi="Montserrat" w:cs="Montserrat"/>
          <w:b/>
          <w:bCs/>
          <w:color w:val="B98F45"/>
          <w:spacing w:val="10"/>
          <w:sz w:val="16"/>
          <w:szCs w:val="16"/>
        </w:rPr>
        <w:t xml:space="preserve">  PORTFOLIO SAMPLE</w:t>
      </w:r>
    </w:p>
    <w:p w14:paraId="3C51B49C" w14:textId="77777777" w:rsidR="00574EAB" w:rsidRDefault="00000000">
      <w:pPr>
        <w:spacing w:after="100"/>
        <w:jc w:val="center"/>
      </w:pPr>
      <w:r>
        <w:rPr>
          <w:rFonts w:ascii="Montserrat" w:eastAsia="Montserrat" w:hAnsi="Montserrat" w:cs="Montserrat"/>
          <w:b/>
          <w:bCs/>
          <w:color w:val="1B2A41"/>
          <w:sz w:val="38"/>
          <w:szCs w:val="38"/>
        </w:rPr>
        <w:t>STRENGTHENING COMMUNITY-BASED</w:t>
      </w:r>
    </w:p>
    <w:p w14:paraId="258A8CD4" w14:textId="77777777" w:rsidR="00574EAB" w:rsidRDefault="00000000">
      <w:pPr>
        <w:spacing w:after="220"/>
        <w:jc w:val="center"/>
      </w:pPr>
      <w:r>
        <w:rPr>
          <w:rFonts w:ascii="Montserrat" w:eastAsia="Montserrat" w:hAnsi="Montserrat" w:cs="Montserrat"/>
          <w:b/>
          <w:bCs/>
          <w:color w:val="1B2A41"/>
          <w:sz w:val="38"/>
          <w:szCs w:val="38"/>
        </w:rPr>
        <w:t>MENTAL HEALTH ACCESS</w:t>
      </w:r>
    </w:p>
    <w:p w14:paraId="4F4977C8" w14:textId="77777777" w:rsidR="00574EAB" w:rsidRDefault="00000000">
      <w:pPr>
        <w:spacing w:after="60"/>
        <w:jc w:val="center"/>
      </w:pPr>
      <w:r>
        <w:rPr>
          <w:i/>
          <w:iCs/>
          <w:color w:val="6E6E6E"/>
          <w:sz w:val="22"/>
          <w:szCs w:val="22"/>
        </w:rPr>
        <w:t>An Illustrative Policy Brief</w:t>
      </w:r>
    </w:p>
    <w:p w14:paraId="50851A88" w14:textId="77777777" w:rsidR="00574EAB" w:rsidRDefault="00000000">
      <w:pPr>
        <w:spacing w:after="340"/>
        <w:jc w:val="center"/>
      </w:pPr>
      <w:r>
        <w:rPr>
          <w:color w:val="6E6E6E"/>
          <w:sz w:val="20"/>
          <w:szCs w:val="20"/>
        </w:rPr>
        <w:t>August 2026</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574EAB" w14:paraId="2CDD3A5D" w14:textId="77777777">
        <w:tblPrEx>
          <w:tblCellMar>
            <w:top w:w="0" w:type="dxa"/>
            <w:bottom w:w="0" w:type="dxa"/>
          </w:tblCellMar>
        </w:tblPrEx>
        <w:tc>
          <w:tcPr>
            <w:tcW w:w="9350" w:type="dxa"/>
            <w:tcBorders>
              <w:top w:val="single" w:sz="24" w:space="0" w:color="B98F45"/>
              <w:left w:val="single" w:sz="24" w:space="0" w:color="B98F45"/>
              <w:bottom w:val="single" w:sz="24" w:space="0" w:color="B98F45"/>
              <w:right w:val="single" w:sz="24" w:space="0" w:color="B98F45"/>
            </w:tcBorders>
            <w:shd w:val="clear" w:color="auto" w:fill="1B2A41"/>
            <w:tcMar>
              <w:top w:w="260" w:type="dxa"/>
              <w:left w:w="320" w:type="dxa"/>
              <w:bottom w:w="260" w:type="dxa"/>
              <w:right w:w="320" w:type="dxa"/>
            </w:tcMar>
          </w:tcPr>
          <w:p w14:paraId="1D57BC4F" w14:textId="77777777" w:rsidR="00574EAB" w:rsidRDefault="00000000">
            <w:pPr>
              <w:spacing w:after="90"/>
            </w:pPr>
            <w:r>
              <w:rPr>
                <w:rFonts w:ascii="Montserrat" w:eastAsia="Montserrat" w:hAnsi="Montserrat" w:cs="Montserrat"/>
                <w:b/>
                <w:bCs/>
                <w:color w:val="B98F45"/>
                <w:spacing w:val="12"/>
                <w:sz w:val="16"/>
                <w:szCs w:val="16"/>
              </w:rPr>
              <w:t>KEY MESSAGE</w:t>
            </w:r>
          </w:p>
          <w:p w14:paraId="49DFE190" w14:textId="77777777" w:rsidR="00574EAB" w:rsidRDefault="00000000">
            <w:r>
              <w:rPr>
                <w:rFonts w:ascii="Montserrat" w:eastAsia="Montserrat" w:hAnsi="Montserrat" w:cs="Montserrat"/>
                <w:b/>
                <w:bCs/>
                <w:color w:val="FFFFFF"/>
                <w:sz w:val="25"/>
                <w:szCs w:val="25"/>
              </w:rPr>
              <w:t xml:space="preserve">Community-based, multi-component programs — </w:t>
            </w:r>
            <w:proofErr w:type="spellStart"/>
            <w:r>
              <w:rPr>
                <w:rFonts w:ascii="Montserrat" w:eastAsia="Montserrat" w:hAnsi="Montserrat" w:cs="Montserrat"/>
                <w:b/>
                <w:bCs/>
                <w:color w:val="FFFFFF"/>
                <w:sz w:val="25"/>
                <w:szCs w:val="25"/>
              </w:rPr>
              <w:t>not</w:t>
            </w:r>
            <w:proofErr w:type="spellEnd"/>
            <w:r>
              <w:rPr>
                <w:rFonts w:ascii="Montserrat" w:eastAsia="Montserrat" w:hAnsi="Montserrat" w:cs="Montserrat"/>
                <w:b/>
                <w:bCs/>
                <w:color w:val="FFFFFF"/>
                <w:sz w:val="25"/>
                <w:szCs w:val="25"/>
              </w:rPr>
              <w:t xml:space="preserve"> single-barrier fixes — are the evidence-aligned path to closing the mental health access gap for underserved adults.</w:t>
            </w:r>
          </w:p>
        </w:tc>
      </w:tr>
    </w:tbl>
    <w:p w14:paraId="3E14CE96" w14:textId="77777777" w:rsidR="00574EAB" w:rsidRDefault="00574EAB">
      <w:pPr>
        <w:spacing w:before="260"/>
      </w:pPr>
    </w:p>
    <w:p w14:paraId="3F46314D" w14:textId="77777777" w:rsidR="00574EAB" w:rsidRDefault="00000000">
      <w:pPr>
        <w:pBdr>
          <w:top w:val="single" w:sz="6" w:space="8" w:color="B98F45"/>
          <w:left w:val="single" w:sz="6" w:space="8" w:color="B98F45"/>
          <w:bottom w:val="single" w:sz="6" w:space="8" w:color="B98F45"/>
          <w:right w:val="single" w:sz="6" w:space="8" w:color="B98F45"/>
        </w:pBdr>
        <w:shd w:val="clear" w:color="auto" w:fill="F3F2EF"/>
        <w:spacing w:before="200" w:after="300"/>
      </w:pPr>
      <w:r>
        <w:rPr>
          <w:i/>
          <w:iCs/>
          <w:color w:val="1B2A41"/>
          <w:sz w:val="19"/>
          <w:szCs w:val="19"/>
        </w:rPr>
        <w:t>This is an illustrative example created by Aspire Research &amp; Consulting to demonstrate concise policy and evidence communication. It draws on the fictional evidence review presented in Aspire's companion research report and is the fifth of five flagship portfolio samples. Community Wellness Initiative (CWI), Ashford County, and the sources cited here are fictional composites created for demonstration purposes. No real organization, funder, or policymaker has reviewed this brief.</w:t>
      </w:r>
    </w:p>
    <w:p w14:paraId="02DE2487" w14:textId="77777777" w:rsidR="00574EAB" w:rsidRDefault="00000000">
      <w:r>
        <w:br w:type="page"/>
      </w:r>
    </w:p>
    <w:p w14:paraId="1F2C0272" w14:textId="77777777" w:rsidR="00574EAB" w:rsidRDefault="00000000">
      <w:pPr>
        <w:pStyle w:val="Heading1"/>
        <w:pBdr>
          <w:bottom w:val="single" w:sz="8" w:space="4" w:color="B98F45"/>
        </w:pBdr>
        <w:spacing w:before="360" w:after="180"/>
      </w:pPr>
      <w:r>
        <w:lastRenderedPageBreak/>
        <w:t>The Problem</w:t>
      </w:r>
    </w:p>
    <w:p w14:paraId="76669A1E" w14:textId="77777777" w:rsidR="00574EAB" w:rsidRDefault="00000000">
      <w:pPr>
        <w:spacing w:after="150" w:line="268" w:lineRule="auto"/>
        <w:jc w:val="both"/>
      </w:pPr>
      <w:r>
        <w:t>Underserved adults across the country face a persistent gap between the need for mental health care and their ability to access it. In communities like Ashford County, this gap is driven less by the absence of services than by the layered barriers standing between residents and the services that already exist.</w:t>
      </w:r>
    </w:p>
    <w:p w14:paraId="59336569" w14:textId="77777777" w:rsidR="00574EAB" w:rsidRDefault="00000000">
      <w:pPr>
        <w:pStyle w:val="ListParagraph"/>
        <w:numPr>
          <w:ilvl w:val="0"/>
          <w:numId w:val="2"/>
        </w:numPr>
        <w:spacing w:after="90"/>
      </w:pPr>
      <w:r>
        <w:t>Cost: uninsured and underinsured adults routinely delay or forgo care they know they need.</w:t>
      </w:r>
    </w:p>
    <w:p w14:paraId="23C6585E" w14:textId="77777777" w:rsidR="00574EAB" w:rsidRDefault="00000000">
      <w:pPr>
        <w:pStyle w:val="ListParagraph"/>
        <w:numPr>
          <w:ilvl w:val="0"/>
          <w:numId w:val="2"/>
        </w:numPr>
        <w:spacing w:after="90"/>
      </w:pPr>
      <w:r>
        <w:t>Stigma: fear of judgment or disclosure discourages help-seeking, especially among older adults and immigrant communities.</w:t>
      </w:r>
    </w:p>
    <w:p w14:paraId="0B38E538" w14:textId="77777777" w:rsidR="00574EAB" w:rsidRDefault="00000000">
      <w:pPr>
        <w:pStyle w:val="ListParagraph"/>
        <w:numPr>
          <w:ilvl w:val="0"/>
          <w:numId w:val="2"/>
        </w:numPr>
        <w:spacing w:after="90"/>
      </w:pPr>
      <w:r>
        <w:t>Fragmentation: residents who are willing and able to seek care often cannot identify where to start.</w:t>
      </w:r>
    </w:p>
    <w:p w14:paraId="20BE4B5F" w14:textId="77777777" w:rsidR="00574EAB" w:rsidRDefault="00000000">
      <w:pPr>
        <w:spacing w:after="150" w:line="268" w:lineRule="auto"/>
        <w:jc w:val="both"/>
      </w:pPr>
      <w:r>
        <w:t xml:space="preserve">These barriers do not operate in isolation — they compound. Addressing </w:t>
      </w:r>
      <w:proofErr w:type="gramStart"/>
      <w:r>
        <w:t>only</w:t>
      </w:r>
      <w:proofErr w:type="gramEnd"/>
      <w:r>
        <w:t xml:space="preserve"> one leaves the underlying access gap largely intact.</w:t>
      </w:r>
    </w:p>
    <w:p w14:paraId="3F5E2D90" w14:textId="77777777" w:rsidR="00574EAB" w:rsidRDefault="00000000">
      <w:pPr>
        <w:pStyle w:val="Heading1"/>
        <w:pBdr>
          <w:bottom w:val="single" w:sz="8" w:space="4" w:color="B98F45"/>
        </w:pBdr>
        <w:spacing w:before="360" w:after="180"/>
      </w:pPr>
      <w:r>
        <w:t>What the Evidence Shows</w:t>
      </w:r>
    </w:p>
    <w:p w14:paraId="1B06D40B" w14:textId="77777777" w:rsidR="00574EAB" w:rsidRDefault="00000000">
      <w:pPr>
        <w:pStyle w:val="ListParagraph"/>
        <w:numPr>
          <w:ilvl w:val="0"/>
          <w:numId w:val="2"/>
        </w:numPr>
        <w:spacing w:after="90"/>
      </w:pPr>
      <w:r>
        <w:t>Cost is the most frequently cited barrier to mental health access among underserved adults, but cost relief alone rarely closes the gap (Alvarez &amp; Munoz, 2023).</w:t>
      </w:r>
    </w:p>
    <w:p w14:paraId="70015E98" w14:textId="77777777" w:rsidR="00574EAB" w:rsidRDefault="00000000">
      <w:pPr>
        <w:pStyle w:val="ListParagraph"/>
        <w:numPr>
          <w:ilvl w:val="0"/>
          <w:numId w:val="2"/>
        </w:numPr>
        <w:spacing w:after="90"/>
      </w:pPr>
      <w:r>
        <w:t>Trusted community messengers — peer facilitators and community health workers — are consistently associated with reduced stigma and improved initial engagement (Okafor et al., 2021).</w:t>
      </w:r>
    </w:p>
    <w:p w14:paraId="7F96DAAF" w14:textId="77777777" w:rsidR="00574EAB" w:rsidRDefault="00000000">
      <w:pPr>
        <w:pStyle w:val="ListParagraph"/>
        <w:numPr>
          <w:ilvl w:val="0"/>
          <w:numId w:val="2"/>
        </w:numPr>
        <w:spacing w:after="90"/>
      </w:pPr>
      <w:r>
        <w:t>Centralized referral and navigation systems meaningfully improve the odds that a motivated resident actually reaches appropriate care (Community Health Policy Institute, 2022).</w:t>
      </w:r>
    </w:p>
    <w:p w14:paraId="59507A50" w14:textId="77777777" w:rsidR="00574EAB" w:rsidRDefault="00000000">
      <w:pPr>
        <w:pStyle w:val="ListParagraph"/>
        <w:numPr>
          <w:ilvl w:val="0"/>
          <w:numId w:val="2"/>
        </w:numPr>
        <w:spacing w:after="90"/>
      </w:pPr>
      <w:r>
        <w:t>Multi-component models — combining low-barrier entry points, subsidized clinical care, and coordinated referral — consistently outperform single-barrier interventions (Chen &amp; Adebayo, 2022).</w:t>
      </w:r>
    </w:p>
    <w:p w14:paraId="7F7129F2" w14:textId="77777777" w:rsidR="00574EAB" w:rsidRDefault="00000000">
      <w:r>
        <w:br w:type="page"/>
      </w:r>
    </w:p>
    <w:p w14:paraId="336335C8" w14:textId="77777777" w:rsidR="00574EAB" w:rsidRDefault="00000000">
      <w:pPr>
        <w:pStyle w:val="Heading1"/>
        <w:pBdr>
          <w:bottom w:val="single" w:sz="8" w:space="4" w:color="B98F45"/>
        </w:pBdr>
        <w:spacing w:before="360" w:after="180"/>
      </w:pPr>
      <w:r>
        <w:lastRenderedPageBreak/>
        <w:t>Why It Matters</w:t>
      </w:r>
    </w:p>
    <w:p w14:paraId="0012FFB8" w14:textId="77777777" w:rsidR="00574EAB" w:rsidRDefault="00000000">
      <w:pPr>
        <w:spacing w:after="150" w:line="268" w:lineRule="auto"/>
        <w:jc w:val="both"/>
      </w:pPr>
      <w:r>
        <w:t>Unaddressed mental health need does not stay contained to the individuals experiencing it. It shows up as increased reliance on costly emergency and crisis services, worsening co-occurring physical health conditions, and reduced workforce participation — costs that are ultimately absorbed by families, employers, and public systems.</w:t>
      </w:r>
    </w:p>
    <w:p w14:paraId="73E8E2F3" w14:textId="77777777" w:rsidR="00574EAB" w:rsidRDefault="00000000">
      <w:pPr>
        <w:spacing w:after="150" w:line="268" w:lineRule="auto"/>
        <w:jc w:val="both"/>
      </w:pPr>
      <w:r>
        <w:t>Conversely, evidence-aligned community-based models offer a comparatively low-cost, high-leverage point of intervention: they meet residents where existing trust already exists, and they can be implemented by the community organizations already embedded in underserved neighborhoods — without waiting on larger, slower-moving system reform.</w:t>
      </w:r>
    </w:p>
    <w:p w14:paraId="48576B74" w14:textId="77777777" w:rsidR="00574EAB" w:rsidRDefault="00000000">
      <w:pPr>
        <w:pStyle w:val="Heading1"/>
        <w:pBdr>
          <w:bottom w:val="single" w:sz="8" w:space="4" w:color="B98F45"/>
        </w:pBdr>
        <w:spacing w:before="360" w:after="180"/>
      </w:pPr>
      <w:r>
        <w:t>Policy Options</w:t>
      </w:r>
    </w:p>
    <w:p w14:paraId="5CC22D43" w14:textId="77777777" w:rsidR="00574EAB" w:rsidRDefault="00000000">
      <w:pPr>
        <w:spacing w:after="150" w:line="268" w:lineRule="auto"/>
        <w:jc w:val="both"/>
      </w:pPr>
      <w:r>
        <w:t>Policymakers, funders, and organizational leaders have several levers available to strengthen community-based mental health access. The table below summarizes four options, each targeted at a different point in the barrier chain described above.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50"/>
        <w:gridCol w:w="4400"/>
        <w:gridCol w:w="2500"/>
      </w:tblGrid>
      <w:tr w:rsidR="00574EAB" w14:paraId="29D498A7" w14:textId="77777777">
        <w:tblPrEx>
          <w:tblCellMar>
            <w:top w:w="0" w:type="dxa"/>
            <w:bottom w:w="0" w:type="dxa"/>
          </w:tblCellMar>
        </w:tblPrEx>
        <w:trPr>
          <w:cantSplit/>
          <w:tblHeader/>
        </w:trPr>
        <w:tc>
          <w:tcPr>
            <w:tcW w:w="2450" w:type="dxa"/>
            <w:shd w:val="clear" w:color="auto" w:fill="1B2A41"/>
            <w:tcMar>
              <w:top w:w="90" w:type="dxa"/>
              <w:left w:w="110" w:type="dxa"/>
              <w:bottom w:w="90" w:type="dxa"/>
              <w:right w:w="110" w:type="dxa"/>
            </w:tcMar>
            <w:vAlign w:val="center"/>
          </w:tcPr>
          <w:p w14:paraId="204F414D" w14:textId="77777777" w:rsidR="00574EAB" w:rsidRDefault="00000000">
            <w:r>
              <w:rPr>
                <w:b/>
                <w:bCs/>
                <w:color w:val="FFFFFF"/>
                <w:sz w:val="19"/>
                <w:szCs w:val="19"/>
              </w:rPr>
              <w:t>Option</w:t>
            </w:r>
          </w:p>
        </w:tc>
        <w:tc>
          <w:tcPr>
            <w:tcW w:w="4400" w:type="dxa"/>
            <w:shd w:val="clear" w:color="auto" w:fill="1B2A41"/>
            <w:tcMar>
              <w:top w:w="90" w:type="dxa"/>
              <w:left w:w="110" w:type="dxa"/>
              <w:bottom w:w="90" w:type="dxa"/>
              <w:right w:w="110" w:type="dxa"/>
            </w:tcMar>
            <w:vAlign w:val="center"/>
          </w:tcPr>
          <w:p w14:paraId="1B88F846" w14:textId="77777777" w:rsidR="00574EAB" w:rsidRDefault="00000000">
            <w:r>
              <w:rPr>
                <w:b/>
                <w:bCs/>
                <w:color w:val="FFFFFF"/>
                <w:sz w:val="19"/>
                <w:szCs w:val="19"/>
              </w:rPr>
              <w:t>Description</w:t>
            </w:r>
          </w:p>
        </w:tc>
        <w:tc>
          <w:tcPr>
            <w:tcW w:w="2500" w:type="dxa"/>
            <w:shd w:val="clear" w:color="auto" w:fill="1B2A41"/>
            <w:tcMar>
              <w:top w:w="90" w:type="dxa"/>
              <w:left w:w="110" w:type="dxa"/>
              <w:bottom w:w="90" w:type="dxa"/>
              <w:right w:w="110" w:type="dxa"/>
            </w:tcMar>
            <w:vAlign w:val="center"/>
          </w:tcPr>
          <w:p w14:paraId="70A94BFA" w14:textId="77777777" w:rsidR="00574EAB" w:rsidRDefault="00000000">
            <w:pPr>
              <w:jc w:val="center"/>
            </w:pPr>
            <w:r>
              <w:rPr>
                <w:b/>
                <w:bCs/>
                <w:color w:val="FFFFFF"/>
                <w:sz w:val="19"/>
                <w:szCs w:val="19"/>
              </w:rPr>
              <w:t>Primary Actor</w:t>
            </w:r>
          </w:p>
        </w:tc>
      </w:tr>
      <w:tr w:rsidR="00574EAB" w14:paraId="0CFBDB28" w14:textId="77777777">
        <w:tblPrEx>
          <w:tblCellMar>
            <w:top w:w="0" w:type="dxa"/>
            <w:bottom w:w="0" w:type="dxa"/>
          </w:tblCellMar>
        </w:tblPrEx>
        <w:trPr>
          <w:cantSplit/>
        </w:trPr>
        <w:tc>
          <w:tcPr>
            <w:tcW w:w="2450" w:type="dxa"/>
            <w:shd w:val="clear" w:color="auto" w:fill="F3F2EF"/>
            <w:tcMar>
              <w:top w:w="90" w:type="dxa"/>
              <w:left w:w="110" w:type="dxa"/>
              <w:bottom w:w="90" w:type="dxa"/>
              <w:right w:w="110" w:type="dxa"/>
            </w:tcMar>
            <w:vAlign w:val="center"/>
          </w:tcPr>
          <w:p w14:paraId="5BF1089F" w14:textId="77777777" w:rsidR="00574EAB" w:rsidRDefault="00000000">
            <w:r>
              <w:rPr>
                <w:b/>
                <w:bCs/>
                <w:sz w:val="19"/>
                <w:szCs w:val="19"/>
              </w:rPr>
              <w:t>Fund navigation infrastructure</w:t>
            </w:r>
          </w:p>
        </w:tc>
        <w:tc>
          <w:tcPr>
            <w:tcW w:w="4400" w:type="dxa"/>
            <w:shd w:val="clear" w:color="auto" w:fill="F3F2EF"/>
            <w:tcMar>
              <w:top w:w="90" w:type="dxa"/>
              <w:left w:w="110" w:type="dxa"/>
              <w:bottom w:w="90" w:type="dxa"/>
              <w:right w:w="110" w:type="dxa"/>
            </w:tcMar>
            <w:vAlign w:val="center"/>
          </w:tcPr>
          <w:p w14:paraId="48E4A051" w14:textId="77777777" w:rsidR="00574EAB" w:rsidRDefault="00000000">
            <w:r>
              <w:rPr>
                <w:sz w:val="19"/>
                <w:szCs w:val="19"/>
              </w:rPr>
              <w:t>Support centralized referral and care-navigation systems that connect residents to the right level of care.</w:t>
            </w:r>
          </w:p>
        </w:tc>
        <w:tc>
          <w:tcPr>
            <w:tcW w:w="2500" w:type="dxa"/>
            <w:shd w:val="clear" w:color="auto" w:fill="F3F2EF"/>
            <w:tcMar>
              <w:top w:w="90" w:type="dxa"/>
              <w:left w:w="110" w:type="dxa"/>
              <w:bottom w:w="90" w:type="dxa"/>
              <w:right w:w="110" w:type="dxa"/>
            </w:tcMar>
            <w:vAlign w:val="center"/>
          </w:tcPr>
          <w:p w14:paraId="05E71421" w14:textId="77777777" w:rsidR="00574EAB" w:rsidRDefault="00000000">
            <w:pPr>
              <w:jc w:val="center"/>
            </w:pPr>
            <w:r>
              <w:rPr>
                <w:sz w:val="19"/>
                <w:szCs w:val="19"/>
              </w:rPr>
              <w:t>County agencies, funders</w:t>
            </w:r>
          </w:p>
        </w:tc>
      </w:tr>
      <w:tr w:rsidR="00574EAB" w14:paraId="354C1A5F" w14:textId="77777777">
        <w:tblPrEx>
          <w:tblCellMar>
            <w:top w:w="0" w:type="dxa"/>
            <w:bottom w:w="0" w:type="dxa"/>
          </w:tblCellMar>
        </w:tblPrEx>
        <w:trPr>
          <w:cantSplit/>
        </w:trPr>
        <w:tc>
          <w:tcPr>
            <w:tcW w:w="2450" w:type="dxa"/>
            <w:tcMar>
              <w:top w:w="90" w:type="dxa"/>
              <w:left w:w="110" w:type="dxa"/>
              <w:bottom w:w="90" w:type="dxa"/>
              <w:right w:w="110" w:type="dxa"/>
            </w:tcMar>
            <w:vAlign w:val="center"/>
          </w:tcPr>
          <w:p w14:paraId="3513449B" w14:textId="77777777" w:rsidR="00574EAB" w:rsidRDefault="00000000">
            <w:r>
              <w:rPr>
                <w:b/>
                <w:bCs/>
                <w:sz w:val="19"/>
                <w:szCs w:val="19"/>
              </w:rPr>
              <w:t>Subsidize low-barrier entry points</w:t>
            </w:r>
          </w:p>
        </w:tc>
        <w:tc>
          <w:tcPr>
            <w:tcW w:w="4400" w:type="dxa"/>
            <w:tcMar>
              <w:top w:w="90" w:type="dxa"/>
              <w:left w:w="110" w:type="dxa"/>
              <w:bottom w:w="90" w:type="dxa"/>
              <w:right w:w="110" w:type="dxa"/>
            </w:tcMar>
            <w:vAlign w:val="center"/>
          </w:tcPr>
          <w:p w14:paraId="3F3BB531" w14:textId="77777777" w:rsidR="00574EAB" w:rsidRDefault="00000000">
            <w:r>
              <w:rPr>
                <w:sz w:val="19"/>
                <w:szCs w:val="19"/>
              </w:rPr>
              <w:t>Fund peer support and community health worker programs as a first point of contact.</w:t>
            </w:r>
          </w:p>
        </w:tc>
        <w:tc>
          <w:tcPr>
            <w:tcW w:w="2500" w:type="dxa"/>
            <w:tcMar>
              <w:top w:w="90" w:type="dxa"/>
              <w:left w:w="110" w:type="dxa"/>
              <w:bottom w:w="90" w:type="dxa"/>
              <w:right w:w="110" w:type="dxa"/>
            </w:tcMar>
            <w:vAlign w:val="center"/>
          </w:tcPr>
          <w:p w14:paraId="70A2EC31" w14:textId="77777777" w:rsidR="00574EAB" w:rsidRDefault="00000000">
            <w:pPr>
              <w:jc w:val="center"/>
            </w:pPr>
            <w:r>
              <w:rPr>
                <w:sz w:val="19"/>
                <w:szCs w:val="19"/>
              </w:rPr>
              <w:t>Funders, nonprofits</w:t>
            </w:r>
          </w:p>
        </w:tc>
      </w:tr>
      <w:tr w:rsidR="00574EAB" w14:paraId="0B848CE2" w14:textId="77777777">
        <w:tblPrEx>
          <w:tblCellMar>
            <w:top w:w="0" w:type="dxa"/>
            <w:bottom w:w="0" w:type="dxa"/>
          </w:tblCellMar>
        </w:tblPrEx>
        <w:trPr>
          <w:cantSplit/>
        </w:trPr>
        <w:tc>
          <w:tcPr>
            <w:tcW w:w="2450" w:type="dxa"/>
            <w:shd w:val="clear" w:color="auto" w:fill="F3F2EF"/>
            <w:tcMar>
              <w:top w:w="90" w:type="dxa"/>
              <w:left w:w="110" w:type="dxa"/>
              <w:bottom w:w="90" w:type="dxa"/>
              <w:right w:w="110" w:type="dxa"/>
            </w:tcMar>
            <w:vAlign w:val="center"/>
          </w:tcPr>
          <w:p w14:paraId="439C910B" w14:textId="77777777" w:rsidR="00574EAB" w:rsidRDefault="00000000">
            <w:r>
              <w:rPr>
                <w:b/>
                <w:bCs/>
                <w:sz w:val="19"/>
                <w:szCs w:val="19"/>
              </w:rPr>
              <w:t>Prioritize multi-component grants</w:t>
            </w:r>
          </w:p>
        </w:tc>
        <w:tc>
          <w:tcPr>
            <w:tcW w:w="4400" w:type="dxa"/>
            <w:shd w:val="clear" w:color="auto" w:fill="F3F2EF"/>
            <w:tcMar>
              <w:top w:w="90" w:type="dxa"/>
              <w:left w:w="110" w:type="dxa"/>
              <w:bottom w:w="90" w:type="dxa"/>
              <w:right w:w="110" w:type="dxa"/>
            </w:tcMar>
            <w:vAlign w:val="center"/>
          </w:tcPr>
          <w:p w14:paraId="6875275D" w14:textId="77777777" w:rsidR="00574EAB" w:rsidRDefault="00000000">
            <w:r>
              <w:rPr>
                <w:sz w:val="19"/>
                <w:szCs w:val="19"/>
              </w:rPr>
              <w:t>Favor funding proposals that address more than one barrier category simultaneously.</w:t>
            </w:r>
          </w:p>
        </w:tc>
        <w:tc>
          <w:tcPr>
            <w:tcW w:w="2500" w:type="dxa"/>
            <w:shd w:val="clear" w:color="auto" w:fill="F3F2EF"/>
            <w:tcMar>
              <w:top w:w="90" w:type="dxa"/>
              <w:left w:w="110" w:type="dxa"/>
              <w:bottom w:w="90" w:type="dxa"/>
              <w:right w:w="110" w:type="dxa"/>
            </w:tcMar>
            <w:vAlign w:val="center"/>
          </w:tcPr>
          <w:p w14:paraId="717408DA" w14:textId="77777777" w:rsidR="00574EAB" w:rsidRDefault="00000000">
            <w:pPr>
              <w:jc w:val="center"/>
            </w:pPr>
            <w:r>
              <w:rPr>
                <w:sz w:val="19"/>
                <w:szCs w:val="19"/>
              </w:rPr>
              <w:t xml:space="preserve">Foundations, </w:t>
            </w:r>
            <w:proofErr w:type="spellStart"/>
            <w:r>
              <w:rPr>
                <w:sz w:val="19"/>
                <w:szCs w:val="19"/>
              </w:rPr>
              <w:t>grantmakers</w:t>
            </w:r>
            <w:proofErr w:type="spellEnd"/>
          </w:p>
        </w:tc>
      </w:tr>
      <w:tr w:rsidR="00574EAB" w14:paraId="4DFB3D9C" w14:textId="77777777">
        <w:tblPrEx>
          <w:tblCellMar>
            <w:top w:w="0" w:type="dxa"/>
            <w:bottom w:w="0" w:type="dxa"/>
          </w:tblCellMar>
        </w:tblPrEx>
        <w:trPr>
          <w:cantSplit/>
        </w:trPr>
        <w:tc>
          <w:tcPr>
            <w:tcW w:w="2450" w:type="dxa"/>
            <w:tcMar>
              <w:top w:w="90" w:type="dxa"/>
              <w:left w:w="110" w:type="dxa"/>
              <w:bottom w:w="90" w:type="dxa"/>
              <w:right w:w="110" w:type="dxa"/>
            </w:tcMar>
            <w:vAlign w:val="center"/>
          </w:tcPr>
          <w:p w14:paraId="771D6CFA" w14:textId="77777777" w:rsidR="00574EAB" w:rsidRDefault="00000000">
            <w:r>
              <w:rPr>
                <w:b/>
                <w:bCs/>
                <w:sz w:val="19"/>
                <w:szCs w:val="19"/>
              </w:rPr>
              <w:t>Support outcome evaluation</w:t>
            </w:r>
          </w:p>
        </w:tc>
        <w:tc>
          <w:tcPr>
            <w:tcW w:w="4400" w:type="dxa"/>
            <w:tcMar>
              <w:top w:w="90" w:type="dxa"/>
              <w:left w:w="110" w:type="dxa"/>
              <w:bottom w:w="90" w:type="dxa"/>
              <w:right w:w="110" w:type="dxa"/>
            </w:tcMar>
            <w:vAlign w:val="center"/>
          </w:tcPr>
          <w:p w14:paraId="3EEA9979" w14:textId="77777777" w:rsidR="00574EAB" w:rsidRDefault="00000000">
            <w:r>
              <w:rPr>
                <w:sz w:val="19"/>
                <w:szCs w:val="19"/>
              </w:rPr>
              <w:t>Fund rigorous, program-level evaluation to strengthen the long-term evidence base.</w:t>
            </w:r>
          </w:p>
        </w:tc>
        <w:tc>
          <w:tcPr>
            <w:tcW w:w="2500" w:type="dxa"/>
            <w:tcMar>
              <w:top w:w="90" w:type="dxa"/>
              <w:left w:w="110" w:type="dxa"/>
              <w:bottom w:w="90" w:type="dxa"/>
              <w:right w:w="110" w:type="dxa"/>
            </w:tcMar>
            <w:vAlign w:val="center"/>
          </w:tcPr>
          <w:p w14:paraId="490E8B1A" w14:textId="77777777" w:rsidR="00574EAB" w:rsidRDefault="00000000">
            <w:pPr>
              <w:jc w:val="center"/>
            </w:pPr>
            <w:r>
              <w:rPr>
                <w:sz w:val="19"/>
                <w:szCs w:val="19"/>
              </w:rPr>
              <w:t>Funders, research institutions</w:t>
            </w:r>
          </w:p>
        </w:tc>
      </w:tr>
    </w:tbl>
    <w:p w14:paraId="3A77695B" w14:textId="77777777" w:rsidR="00574EAB" w:rsidRDefault="00574EAB">
      <w:pPr>
        <w:spacing w:before="200"/>
      </w:pPr>
    </w:p>
    <w:p w14:paraId="1211A02D" w14:textId="77777777" w:rsidR="00574EAB" w:rsidRDefault="00000000">
      <w:r>
        <w:br w:type="page"/>
      </w:r>
    </w:p>
    <w:p w14:paraId="493AA933" w14:textId="77777777" w:rsidR="00574EAB" w:rsidRDefault="00000000">
      <w:pPr>
        <w:pStyle w:val="Heading1"/>
        <w:pBdr>
          <w:bottom w:val="single" w:sz="8" w:space="4" w:color="B98F45"/>
        </w:pBdr>
        <w:spacing w:before="360" w:after="180"/>
      </w:pPr>
      <w:r>
        <w:lastRenderedPageBreak/>
        <w:t>Recommendations</w:t>
      </w:r>
    </w:p>
    <w:p w14:paraId="6A79F4F9" w14:textId="77777777" w:rsidR="00574EAB" w:rsidRDefault="00000000">
      <w:pPr>
        <w:spacing w:after="150" w:line="268" w:lineRule="auto"/>
        <w:jc w:val="both"/>
      </w:pPr>
      <w:r>
        <w:t>Aspire recommends the following four actions for policymakers, funders, and organizational leaders seeking to close the mental health access gap for underserved adults.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574EAB" w14:paraId="18B77428" w14:textId="77777777">
        <w:tblPrEx>
          <w:tblCellMar>
            <w:top w:w="0" w:type="dxa"/>
            <w:bottom w:w="0" w:type="dxa"/>
          </w:tblCellMar>
        </w:tblPrEx>
        <w:trPr>
          <w:cantSplit/>
        </w:trPr>
        <w:tc>
          <w:tcPr>
            <w:tcW w:w="700" w:type="dxa"/>
            <w:shd w:val="clear" w:color="auto" w:fill="B98F45"/>
            <w:tcMar>
              <w:top w:w="120" w:type="dxa"/>
              <w:left w:w="80" w:type="dxa"/>
              <w:bottom w:w="120" w:type="dxa"/>
              <w:right w:w="80" w:type="dxa"/>
            </w:tcMar>
            <w:vAlign w:val="center"/>
          </w:tcPr>
          <w:p w14:paraId="63B7E06D" w14:textId="77777777" w:rsidR="00574EAB" w:rsidRDefault="00000000">
            <w:pPr>
              <w:jc w:val="center"/>
            </w:pPr>
            <w:r>
              <w:rPr>
                <w:rFonts w:ascii="Montserrat" w:eastAsia="Montserrat" w:hAnsi="Montserrat" w:cs="Montserrat"/>
                <w:b/>
                <w:bCs/>
                <w:color w:val="FFFFFF"/>
                <w:sz w:val="26"/>
                <w:szCs w:val="26"/>
              </w:rPr>
              <w:t>1</w:t>
            </w:r>
          </w:p>
        </w:tc>
        <w:tc>
          <w:tcPr>
            <w:tcW w:w="8650" w:type="dxa"/>
            <w:shd w:val="clear" w:color="auto" w:fill="F3F2EF"/>
            <w:tcMar>
              <w:top w:w="120" w:type="dxa"/>
              <w:left w:w="220" w:type="dxa"/>
              <w:bottom w:w="120" w:type="dxa"/>
              <w:right w:w="220" w:type="dxa"/>
            </w:tcMar>
            <w:vAlign w:val="center"/>
          </w:tcPr>
          <w:p w14:paraId="2029ABFD" w14:textId="77777777" w:rsidR="00574EAB" w:rsidRDefault="00000000">
            <w:pPr>
              <w:spacing w:after="40"/>
            </w:pPr>
            <w:r>
              <w:rPr>
                <w:rFonts w:ascii="Montserrat" w:eastAsia="Montserrat" w:hAnsi="Montserrat" w:cs="Montserrat"/>
                <w:b/>
                <w:bCs/>
                <w:color w:val="1B2A41"/>
                <w:sz w:val="20"/>
                <w:szCs w:val="20"/>
              </w:rPr>
              <w:t>Fund community-based navigation infrastructure</w:t>
            </w:r>
          </w:p>
          <w:p w14:paraId="79B7BC15" w14:textId="77777777" w:rsidR="00574EAB" w:rsidRDefault="00000000">
            <w:r>
              <w:rPr>
                <w:sz w:val="19"/>
                <w:szCs w:val="19"/>
              </w:rPr>
              <w:t>Invest in centralized referral systems and community health worker models as core, not optional, program infrastructure.</w:t>
            </w:r>
          </w:p>
        </w:tc>
      </w:tr>
    </w:tbl>
    <w:p w14:paraId="50EFE631" w14:textId="77777777" w:rsidR="00574EAB" w:rsidRDefault="00574EAB">
      <w:pPr>
        <w:spacing w:before="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574EAB" w14:paraId="3C328C09" w14:textId="77777777">
        <w:tblPrEx>
          <w:tblCellMar>
            <w:top w:w="0" w:type="dxa"/>
            <w:bottom w:w="0" w:type="dxa"/>
          </w:tblCellMar>
        </w:tblPrEx>
        <w:trPr>
          <w:cantSplit/>
        </w:trPr>
        <w:tc>
          <w:tcPr>
            <w:tcW w:w="700" w:type="dxa"/>
            <w:shd w:val="clear" w:color="auto" w:fill="B98F45"/>
            <w:tcMar>
              <w:top w:w="120" w:type="dxa"/>
              <w:left w:w="80" w:type="dxa"/>
              <w:bottom w:w="120" w:type="dxa"/>
              <w:right w:w="80" w:type="dxa"/>
            </w:tcMar>
            <w:vAlign w:val="center"/>
          </w:tcPr>
          <w:p w14:paraId="1E5EC077" w14:textId="77777777" w:rsidR="00574EAB" w:rsidRDefault="00000000">
            <w:pPr>
              <w:jc w:val="center"/>
            </w:pPr>
            <w:r>
              <w:rPr>
                <w:rFonts w:ascii="Montserrat" w:eastAsia="Montserrat" w:hAnsi="Montserrat" w:cs="Montserrat"/>
                <w:b/>
                <w:bCs/>
                <w:color w:val="FFFFFF"/>
                <w:sz w:val="26"/>
                <w:szCs w:val="26"/>
              </w:rPr>
              <w:t>2</w:t>
            </w:r>
          </w:p>
        </w:tc>
        <w:tc>
          <w:tcPr>
            <w:tcW w:w="8650" w:type="dxa"/>
            <w:shd w:val="clear" w:color="auto" w:fill="F3F2EF"/>
            <w:tcMar>
              <w:top w:w="120" w:type="dxa"/>
              <w:left w:w="220" w:type="dxa"/>
              <w:bottom w:w="120" w:type="dxa"/>
              <w:right w:w="220" w:type="dxa"/>
            </w:tcMar>
            <w:vAlign w:val="center"/>
          </w:tcPr>
          <w:p w14:paraId="340A66D4" w14:textId="77777777" w:rsidR="00574EAB" w:rsidRDefault="00000000">
            <w:pPr>
              <w:spacing w:after="40"/>
            </w:pPr>
            <w:r>
              <w:rPr>
                <w:rFonts w:ascii="Montserrat" w:eastAsia="Montserrat" w:hAnsi="Montserrat" w:cs="Montserrat"/>
                <w:b/>
                <w:bCs/>
                <w:color w:val="1B2A41"/>
                <w:sz w:val="20"/>
                <w:szCs w:val="20"/>
              </w:rPr>
              <w:t>Prioritize multi-component program models</w:t>
            </w:r>
          </w:p>
          <w:p w14:paraId="0E17A571" w14:textId="77777777" w:rsidR="00574EAB" w:rsidRDefault="00000000">
            <w:r>
              <w:rPr>
                <w:sz w:val="19"/>
                <w:szCs w:val="19"/>
              </w:rPr>
              <w:t>Favor funding and policy proposals that address cost, stigma, and fragmentation together rather than in isolation.</w:t>
            </w:r>
          </w:p>
        </w:tc>
      </w:tr>
    </w:tbl>
    <w:p w14:paraId="7A3300A5" w14:textId="77777777" w:rsidR="00574EAB" w:rsidRDefault="00574EAB">
      <w:pPr>
        <w:spacing w:before="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574EAB" w14:paraId="6F9BF43B" w14:textId="77777777">
        <w:tblPrEx>
          <w:tblCellMar>
            <w:top w:w="0" w:type="dxa"/>
            <w:bottom w:w="0" w:type="dxa"/>
          </w:tblCellMar>
        </w:tblPrEx>
        <w:trPr>
          <w:cantSplit/>
        </w:trPr>
        <w:tc>
          <w:tcPr>
            <w:tcW w:w="700" w:type="dxa"/>
            <w:shd w:val="clear" w:color="auto" w:fill="B98F45"/>
            <w:tcMar>
              <w:top w:w="120" w:type="dxa"/>
              <w:left w:w="80" w:type="dxa"/>
              <w:bottom w:w="120" w:type="dxa"/>
              <w:right w:w="80" w:type="dxa"/>
            </w:tcMar>
            <w:vAlign w:val="center"/>
          </w:tcPr>
          <w:p w14:paraId="11ACAFCF" w14:textId="77777777" w:rsidR="00574EAB" w:rsidRDefault="00000000">
            <w:pPr>
              <w:jc w:val="center"/>
            </w:pPr>
            <w:r>
              <w:rPr>
                <w:rFonts w:ascii="Montserrat" w:eastAsia="Montserrat" w:hAnsi="Montserrat" w:cs="Montserrat"/>
                <w:b/>
                <w:bCs/>
                <w:color w:val="FFFFFF"/>
                <w:sz w:val="26"/>
                <w:szCs w:val="26"/>
              </w:rPr>
              <w:t>3</w:t>
            </w:r>
          </w:p>
        </w:tc>
        <w:tc>
          <w:tcPr>
            <w:tcW w:w="8650" w:type="dxa"/>
            <w:shd w:val="clear" w:color="auto" w:fill="F3F2EF"/>
            <w:tcMar>
              <w:top w:w="120" w:type="dxa"/>
              <w:left w:w="220" w:type="dxa"/>
              <w:bottom w:w="120" w:type="dxa"/>
              <w:right w:w="220" w:type="dxa"/>
            </w:tcMar>
            <w:vAlign w:val="center"/>
          </w:tcPr>
          <w:p w14:paraId="28E14109" w14:textId="77777777" w:rsidR="00574EAB" w:rsidRDefault="00000000">
            <w:pPr>
              <w:spacing w:after="40"/>
            </w:pPr>
            <w:r>
              <w:rPr>
                <w:rFonts w:ascii="Montserrat" w:eastAsia="Montserrat" w:hAnsi="Montserrat" w:cs="Montserrat"/>
                <w:b/>
                <w:bCs/>
                <w:color w:val="1B2A41"/>
                <w:sz w:val="20"/>
                <w:szCs w:val="20"/>
              </w:rPr>
              <w:t>Invest in trusted community messengers</w:t>
            </w:r>
          </w:p>
          <w:p w14:paraId="6488CFE2" w14:textId="77777777" w:rsidR="00574EAB" w:rsidRDefault="00000000">
            <w:r>
              <w:rPr>
                <w:sz w:val="19"/>
                <w:szCs w:val="19"/>
              </w:rPr>
              <w:t>Support peer support and community health worker roles as the most evidence-aligned mechanism for reducing stigma-related barriers.</w:t>
            </w:r>
          </w:p>
        </w:tc>
      </w:tr>
    </w:tbl>
    <w:p w14:paraId="4CF56130" w14:textId="77777777" w:rsidR="00574EAB" w:rsidRDefault="00574EAB">
      <w:pPr>
        <w:spacing w:before="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650"/>
      </w:tblGrid>
      <w:tr w:rsidR="00574EAB" w14:paraId="2A323AAA" w14:textId="77777777">
        <w:tblPrEx>
          <w:tblCellMar>
            <w:top w:w="0" w:type="dxa"/>
            <w:bottom w:w="0" w:type="dxa"/>
          </w:tblCellMar>
        </w:tblPrEx>
        <w:trPr>
          <w:cantSplit/>
        </w:trPr>
        <w:tc>
          <w:tcPr>
            <w:tcW w:w="700" w:type="dxa"/>
            <w:shd w:val="clear" w:color="auto" w:fill="B98F45"/>
            <w:tcMar>
              <w:top w:w="120" w:type="dxa"/>
              <w:left w:w="80" w:type="dxa"/>
              <w:bottom w:w="120" w:type="dxa"/>
              <w:right w:w="80" w:type="dxa"/>
            </w:tcMar>
            <w:vAlign w:val="center"/>
          </w:tcPr>
          <w:p w14:paraId="7C9E3BAF" w14:textId="77777777" w:rsidR="00574EAB" w:rsidRDefault="00000000">
            <w:pPr>
              <w:jc w:val="center"/>
            </w:pPr>
            <w:r>
              <w:rPr>
                <w:rFonts w:ascii="Montserrat" w:eastAsia="Montserrat" w:hAnsi="Montserrat" w:cs="Montserrat"/>
                <w:b/>
                <w:bCs/>
                <w:color w:val="FFFFFF"/>
                <w:sz w:val="26"/>
                <w:szCs w:val="26"/>
              </w:rPr>
              <w:t>4</w:t>
            </w:r>
          </w:p>
        </w:tc>
        <w:tc>
          <w:tcPr>
            <w:tcW w:w="8650" w:type="dxa"/>
            <w:shd w:val="clear" w:color="auto" w:fill="F3F2EF"/>
            <w:tcMar>
              <w:top w:w="120" w:type="dxa"/>
              <w:left w:w="220" w:type="dxa"/>
              <w:bottom w:w="120" w:type="dxa"/>
              <w:right w:w="220" w:type="dxa"/>
            </w:tcMar>
            <w:vAlign w:val="center"/>
          </w:tcPr>
          <w:p w14:paraId="5D64B331" w14:textId="77777777" w:rsidR="00574EAB" w:rsidRDefault="00000000">
            <w:pPr>
              <w:spacing w:after="40"/>
            </w:pPr>
            <w:r>
              <w:rPr>
                <w:rFonts w:ascii="Montserrat" w:eastAsia="Montserrat" w:hAnsi="Montserrat" w:cs="Montserrat"/>
                <w:b/>
                <w:bCs/>
                <w:color w:val="1B2A41"/>
                <w:sz w:val="20"/>
                <w:szCs w:val="20"/>
              </w:rPr>
              <w:t>Require outcome evaluation in funded programs</w:t>
            </w:r>
          </w:p>
          <w:p w14:paraId="7B3B3A23" w14:textId="77777777" w:rsidR="00574EAB" w:rsidRDefault="00000000">
            <w:r>
              <w:rPr>
                <w:sz w:val="19"/>
                <w:szCs w:val="19"/>
              </w:rPr>
              <w:t>Build evaluation requirements into grants and contracts to strengthen the evidence base for future investment decisions.</w:t>
            </w:r>
          </w:p>
        </w:tc>
      </w:tr>
    </w:tbl>
    <w:p w14:paraId="64015F9A" w14:textId="77777777" w:rsidR="00574EAB" w:rsidRDefault="00574EAB">
      <w:pPr>
        <w:spacing w:before="220"/>
      </w:pPr>
    </w:p>
    <w:p w14:paraId="23BD7A9A" w14:textId="77777777" w:rsidR="00574EAB" w:rsidRDefault="00000000">
      <w:r>
        <w:br w:type="page"/>
      </w:r>
    </w:p>
    <w:p w14:paraId="37152FC0" w14:textId="77777777" w:rsidR="00574EAB" w:rsidRDefault="00000000">
      <w:pPr>
        <w:pStyle w:val="Heading1"/>
        <w:pBdr>
          <w:bottom w:val="single" w:sz="8" w:space="4" w:color="B98F45"/>
        </w:pBdr>
        <w:spacing w:before="360" w:after="180"/>
      </w:pPr>
      <w:r>
        <w:lastRenderedPageBreak/>
        <w:t>Conclusion</w:t>
      </w:r>
    </w:p>
    <w:p w14:paraId="42D5AF5E" w14:textId="77777777" w:rsidR="00574EAB" w:rsidRDefault="00000000">
      <w:pPr>
        <w:spacing w:after="150" w:line="268" w:lineRule="auto"/>
        <w:jc w:val="both"/>
      </w:pPr>
      <w:r>
        <w:t>Strengthening community-based mental health access does not require waiting for large-scale system reform. The evidence points to a clear, near-term path: fund the community-based, multi-component models that meet residents where trust already exists, and pair them with the navigation infrastructure and evaluation rigor needed to sustain and improve them over time.</w:t>
      </w:r>
    </w:p>
    <w:p w14:paraId="1AB58217" w14:textId="77777777" w:rsidR="00574EAB" w:rsidRDefault="00000000">
      <w:pPr>
        <w:spacing w:after="150" w:line="268" w:lineRule="auto"/>
        <w:jc w:val="both"/>
      </w:pPr>
      <w:r>
        <w:t>Aspire's companion portfolio samples — the CMHAI grant proposal, funder research report, research report, and technical implementation report — illustrate what this path looks like in practice, from initial program design through funding, delivery, and reporting.</w:t>
      </w:r>
    </w:p>
    <w:p w14:paraId="404C7722" w14:textId="77777777" w:rsidR="00574EAB" w:rsidRDefault="00000000">
      <w:r>
        <w:br w:type="page"/>
      </w:r>
    </w:p>
    <w:p w14:paraId="508337D4" w14:textId="77777777" w:rsidR="00574EAB" w:rsidRDefault="00000000">
      <w:pPr>
        <w:pStyle w:val="Heading1"/>
        <w:pBdr>
          <w:bottom w:val="single" w:sz="8" w:space="4" w:color="B98F45"/>
        </w:pBdr>
        <w:spacing w:before="360" w:after="180"/>
      </w:pPr>
      <w:r>
        <w:lastRenderedPageBreak/>
        <w:t>References</w:t>
      </w:r>
    </w:p>
    <w:p w14:paraId="5501B01B" w14:textId="77777777" w:rsidR="00574EAB" w:rsidRDefault="00000000">
      <w:pPr>
        <w:spacing w:after="150" w:line="268" w:lineRule="auto"/>
        <w:jc w:val="both"/>
      </w:pPr>
      <w:r>
        <w:t>The following references are fictional composites created for demonstration purposes, consistent with the disclosure on page 1.</w:t>
      </w:r>
    </w:p>
    <w:p w14:paraId="3CCDF1D2" w14:textId="77777777" w:rsidR="00574EAB" w:rsidRDefault="00000000">
      <w:pPr>
        <w:spacing w:after="110" w:line="250" w:lineRule="auto"/>
        <w:ind w:left="460" w:hanging="460"/>
      </w:pPr>
      <w:r>
        <w:rPr>
          <w:sz w:val="18"/>
          <w:szCs w:val="18"/>
        </w:rPr>
        <w:t>Alvarez, R., &amp; Munoz, T. (2023). Cost barriers and service initiation among low-income adults. Journal of Community Health Policy, 18(2), 114–129. [Illustrative]</w:t>
      </w:r>
    </w:p>
    <w:p w14:paraId="43C2E25A" w14:textId="77777777" w:rsidR="00574EAB" w:rsidRDefault="00000000">
      <w:pPr>
        <w:spacing w:after="110" w:line="250" w:lineRule="auto"/>
        <w:ind w:left="460" w:hanging="460"/>
      </w:pPr>
      <w:r>
        <w:rPr>
          <w:sz w:val="18"/>
          <w:szCs w:val="18"/>
        </w:rPr>
        <w:t>Chen, L., &amp; Adebayo, K. (2022). Compounding barriers in underserved mental health access. Behavioral Health Systems Review, 9(4), 201–219. [Illustrative]</w:t>
      </w:r>
    </w:p>
    <w:p w14:paraId="2672611A" w14:textId="77777777" w:rsidR="00574EAB" w:rsidRDefault="00000000">
      <w:pPr>
        <w:spacing w:after="110" w:line="250" w:lineRule="auto"/>
        <w:ind w:left="460" w:hanging="460"/>
      </w:pPr>
      <w:r>
        <w:rPr>
          <w:sz w:val="18"/>
          <w:szCs w:val="18"/>
        </w:rPr>
        <w:t>Community Health Policy Institute. (2022). Navigating fragmented care: A regional needs assessment. [Illustrative]</w:t>
      </w:r>
    </w:p>
    <w:p w14:paraId="0D03E416" w14:textId="77777777" w:rsidR="00574EAB" w:rsidRDefault="00000000">
      <w:pPr>
        <w:spacing w:after="110" w:line="250" w:lineRule="auto"/>
        <w:ind w:left="460" w:hanging="460"/>
      </w:pPr>
      <w:r>
        <w:rPr>
          <w:sz w:val="18"/>
          <w:szCs w:val="18"/>
        </w:rPr>
        <w:t>Okafor, N., Singh, P., &amp; Delgado, M. (2021). Community health worker models and mental health engagement. Journal of Applied Public Health, 15(1), 44–61. [Illustrative]</w:t>
      </w:r>
    </w:p>
    <w:sectPr w:rsidR="00574EAB">
      <w:headerReference w:type="default" r:id="rId7"/>
      <w:footerReference w:type="default" r:id="rId8"/>
      <w:pgSz w:w="12240" w:h="15840"/>
      <w:pgMar w:top="900" w:right="1260" w:bottom="100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A97F" w14:textId="77777777" w:rsidR="00353082" w:rsidRDefault="00353082">
      <w:r>
        <w:separator/>
      </w:r>
    </w:p>
  </w:endnote>
  <w:endnote w:type="continuationSeparator" w:id="0">
    <w:p w14:paraId="3D07E710" w14:textId="77777777" w:rsidR="00353082" w:rsidRDefault="0035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B5A5" w14:textId="77777777" w:rsidR="00574EAB" w:rsidRDefault="00000000">
    <w:pPr>
      <w:pBdr>
        <w:top w:val="single" w:sz="6" w:space="4" w:color="B98F45"/>
      </w:pBdr>
      <w:tabs>
        <w:tab w:val="right" w:pos="9026"/>
      </w:tabs>
    </w:pPr>
    <w:r>
      <w:rPr>
        <w:color w:val="6E6E6E"/>
        <w:sz w:val="16"/>
        <w:szCs w:val="16"/>
      </w:rPr>
      <w:t xml:space="preserve">Aspire Research &amp; </w:t>
    </w:r>
    <w:proofErr w:type="gramStart"/>
    <w:r>
      <w:rPr>
        <w:color w:val="6E6E6E"/>
        <w:sz w:val="16"/>
        <w:szCs w:val="16"/>
      </w:rPr>
      <w:t>Consulting  |</w:t>
    </w:r>
    <w:proofErr w:type="gramEnd"/>
    <w:r>
      <w:rPr>
        <w:color w:val="6E6E6E"/>
        <w:sz w:val="16"/>
        <w:szCs w:val="16"/>
      </w:rPr>
      <w:t xml:space="preserve">  Research. Funding. Impact.</w:t>
    </w:r>
    <w:r>
      <w:rPr>
        <w:sz w:val="16"/>
        <w:szCs w:val="16"/>
      </w:rP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D47E24">
      <w:rPr>
        <w:noProof/>
        <w:color w:val="6E6E6E"/>
        <w:sz w:val="16"/>
        <w:szCs w:val="16"/>
      </w:rPr>
      <w:t>2</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D47E24">
      <w:rPr>
        <w:noProof/>
        <w:color w:val="6E6E6E"/>
        <w:sz w:val="16"/>
        <w:szCs w:val="16"/>
      </w:rPr>
      <w:t>3</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E1698" w14:textId="77777777" w:rsidR="00353082" w:rsidRDefault="00353082">
      <w:r>
        <w:separator/>
      </w:r>
    </w:p>
  </w:footnote>
  <w:footnote w:type="continuationSeparator" w:id="0">
    <w:p w14:paraId="4DF37F00" w14:textId="77777777" w:rsidR="00353082" w:rsidRDefault="0035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D114" w14:textId="77777777" w:rsidR="00574EAB" w:rsidRDefault="00000000">
    <w:pPr>
      <w:pBdr>
        <w:bottom w:val="single" w:sz="6" w:space="4" w:color="B98F45"/>
      </w:pBdr>
      <w:jc w:val="right"/>
    </w:pPr>
    <w:r>
      <w:rPr>
        <w:rFonts w:ascii="Montserrat" w:eastAsia="Montserrat" w:hAnsi="Montserrat" w:cs="Montserrat"/>
        <w:b/>
        <w:bCs/>
        <w:color w:val="1B2A41"/>
        <w:spacing w:val="8"/>
        <w:sz w:val="15"/>
        <w:szCs w:val="15"/>
      </w:rPr>
      <w:t xml:space="preserve">ASPIRE RESEARCH &amp; </w:t>
    </w:r>
    <w:proofErr w:type="gramStart"/>
    <w:r>
      <w:rPr>
        <w:rFonts w:ascii="Montserrat" w:eastAsia="Montserrat" w:hAnsi="Montserrat" w:cs="Montserrat"/>
        <w:b/>
        <w:bCs/>
        <w:color w:val="1B2A41"/>
        <w:spacing w:val="8"/>
        <w:sz w:val="15"/>
        <w:szCs w:val="15"/>
      </w:rPr>
      <w:t>CONSULTING  |</w:t>
    </w:r>
    <w:proofErr w:type="gramEnd"/>
    <w:r>
      <w:rPr>
        <w:rFonts w:ascii="Montserrat" w:eastAsia="Montserrat" w:hAnsi="Montserrat" w:cs="Montserrat"/>
        <w:b/>
        <w:bCs/>
        <w:color w:val="1B2A41"/>
        <w:spacing w:val="8"/>
        <w:sz w:val="15"/>
        <w:szCs w:val="15"/>
      </w:rPr>
      <w:t xml:space="preserve">  POLICY &amp; EVIDENCE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821"/>
    <w:multiLevelType w:val="hybridMultilevel"/>
    <w:tmpl w:val="206AD228"/>
    <w:lvl w:ilvl="0" w:tplc="09C8B530">
      <w:start w:val="1"/>
      <w:numFmt w:val="bullet"/>
      <w:lvlText w:val="●"/>
      <w:lvlJc w:val="left"/>
      <w:pPr>
        <w:ind w:left="720" w:hanging="360"/>
      </w:pPr>
    </w:lvl>
    <w:lvl w:ilvl="1" w:tplc="7086406A">
      <w:start w:val="1"/>
      <w:numFmt w:val="bullet"/>
      <w:lvlText w:val="○"/>
      <w:lvlJc w:val="left"/>
      <w:pPr>
        <w:ind w:left="1440" w:hanging="360"/>
      </w:pPr>
    </w:lvl>
    <w:lvl w:ilvl="2" w:tplc="A372CFD8">
      <w:start w:val="1"/>
      <w:numFmt w:val="bullet"/>
      <w:lvlText w:val="■"/>
      <w:lvlJc w:val="left"/>
      <w:pPr>
        <w:ind w:left="2160" w:hanging="360"/>
      </w:pPr>
    </w:lvl>
    <w:lvl w:ilvl="3" w:tplc="3F90DE44">
      <w:start w:val="1"/>
      <w:numFmt w:val="bullet"/>
      <w:lvlText w:val="●"/>
      <w:lvlJc w:val="left"/>
      <w:pPr>
        <w:ind w:left="2880" w:hanging="360"/>
      </w:pPr>
    </w:lvl>
    <w:lvl w:ilvl="4" w:tplc="8F5A1162">
      <w:start w:val="1"/>
      <w:numFmt w:val="bullet"/>
      <w:lvlText w:val="○"/>
      <w:lvlJc w:val="left"/>
      <w:pPr>
        <w:ind w:left="3600" w:hanging="360"/>
      </w:pPr>
    </w:lvl>
    <w:lvl w:ilvl="5" w:tplc="2A94C41C">
      <w:start w:val="1"/>
      <w:numFmt w:val="bullet"/>
      <w:lvlText w:val="■"/>
      <w:lvlJc w:val="left"/>
      <w:pPr>
        <w:ind w:left="4320" w:hanging="360"/>
      </w:pPr>
    </w:lvl>
    <w:lvl w:ilvl="6" w:tplc="E286D45E">
      <w:start w:val="1"/>
      <w:numFmt w:val="bullet"/>
      <w:lvlText w:val="●"/>
      <w:lvlJc w:val="left"/>
      <w:pPr>
        <w:ind w:left="5040" w:hanging="360"/>
      </w:pPr>
    </w:lvl>
    <w:lvl w:ilvl="7" w:tplc="B61AA74E">
      <w:start w:val="1"/>
      <w:numFmt w:val="bullet"/>
      <w:lvlText w:val="●"/>
      <w:lvlJc w:val="left"/>
      <w:pPr>
        <w:ind w:left="5760" w:hanging="360"/>
      </w:pPr>
    </w:lvl>
    <w:lvl w:ilvl="8" w:tplc="F872CFDC">
      <w:start w:val="1"/>
      <w:numFmt w:val="bullet"/>
      <w:lvlText w:val="●"/>
      <w:lvlJc w:val="left"/>
      <w:pPr>
        <w:ind w:left="6480" w:hanging="360"/>
      </w:pPr>
    </w:lvl>
  </w:abstractNum>
  <w:abstractNum w:abstractNumId="1" w15:restartNumberingAfterBreak="0">
    <w:nsid w:val="6AB57E61"/>
    <w:multiLevelType w:val="hybridMultilevel"/>
    <w:tmpl w:val="542468D0"/>
    <w:lvl w:ilvl="0" w:tplc="78B67A26">
      <w:start w:val="1"/>
      <w:numFmt w:val="bullet"/>
      <w:lvlText w:val="•"/>
      <w:lvlJc w:val="left"/>
      <w:pPr>
        <w:ind w:left="440" w:hanging="250"/>
      </w:pPr>
    </w:lvl>
    <w:lvl w:ilvl="1" w:tplc="9F7E28DE">
      <w:numFmt w:val="decimal"/>
      <w:lvlText w:val=""/>
      <w:lvlJc w:val="left"/>
    </w:lvl>
    <w:lvl w:ilvl="2" w:tplc="586209D6">
      <w:numFmt w:val="decimal"/>
      <w:lvlText w:val=""/>
      <w:lvlJc w:val="left"/>
    </w:lvl>
    <w:lvl w:ilvl="3" w:tplc="954E7C6C">
      <w:numFmt w:val="decimal"/>
      <w:lvlText w:val=""/>
      <w:lvlJc w:val="left"/>
    </w:lvl>
    <w:lvl w:ilvl="4" w:tplc="9F9CCE38">
      <w:numFmt w:val="decimal"/>
      <w:lvlText w:val=""/>
      <w:lvlJc w:val="left"/>
    </w:lvl>
    <w:lvl w:ilvl="5" w:tplc="E7322414">
      <w:numFmt w:val="decimal"/>
      <w:lvlText w:val=""/>
      <w:lvlJc w:val="left"/>
    </w:lvl>
    <w:lvl w:ilvl="6" w:tplc="8C365E94">
      <w:numFmt w:val="decimal"/>
      <w:lvlText w:val=""/>
      <w:lvlJc w:val="left"/>
    </w:lvl>
    <w:lvl w:ilvl="7" w:tplc="C7D4CD1A">
      <w:numFmt w:val="decimal"/>
      <w:lvlText w:val=""/>
      <w:lvlJc w:val="left"/>
    </w:lvl>
    <w:lvl w:ilvl="8" w:tplc="045A5E76">
      <w:numFmt w:val="decimal"/>
      <w:lvlText w:val=""/>
      <w:lvlJc w:val="left"/>
    </w:lvl>
  </w:abstractNum>
  <w:num w:numId="1" w16cid:durableId="37096804">
    <w:abstractNumId w:val="0"/>
    <w:lvlOverride w:ilvl="0">
      <w:startOverride w:val="1"/>
    </w:lvlOverride>
  </w:num>
  <w:num w:numId="2" w16cid:durableId="79051612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AB"/>
    <w:rsid w:val="00353082"/>
    <w:rsid w:val="00574EAB"/>
    <w:rsid w:val="00D47E24"/>
    <w:rsid w:val="00F8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3B4F"/>
  <w15:docId w15:val="{8C6C8197-AF73-4BC3-9150-4DD01B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22222"/>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Montserrat" w:eastAsia="Montserrat" w:hAnsi="Montserrat" w:cs="Montserrat"/>
      <w:b/>
      <w:bCs/>
      <w:color w:val="1B2A41"/>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920</Words>
  <Characters>5245</Characters>
  <Application>Microsoft Office Word</Application>
  <DocSecurity>0</DocSecurity>
  <Lines>43</Lines>
  <Paragraphs>12</Paragraphs>
  <ScaleCrop>false</ScaleCrop>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HomePC</cp:lastModifiedBy>
  <cp:revision>2</cp:revision>
  <dcterms:created xsi:type="dcterms:W3CDTF">2026-08-16T07:07:00Z</dcterms:created>
  <dcterms:modified xsi:type="dcterms:W3CDTF">2026-08-16T07:07:00Z</dcterms:modified>
</cp:coreProperties>
</file>